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013ABF89" w:rsidR="00731472" w:rsidRPr="00731472" w:rsidRDefault="0002355F" w:rsidP="00731472">
      <w:pPr>
        <w:jc w:val="right"/>
        <w:rPr>
          <w:rFonts w:ascii="Times New Roman" w:hAnsi="Times New Roman"/>
          <w:b/>
          <w:sz w:val="24"/>
          <w:szCs w:val="24"/>
        </w:rPr>
      </w:pPr>
      <w:r>
        <w:rPr>
          <w:rFonts w:ascii="Times New Roman" w:hAnsi="Times New Roman"/>
          <w:b/>
          <w:sz w:val="24"/>
          <w:szCs w:val="24"/>
        </w:rPr>
        <w:t>Příloha č. 2D</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AC1783">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0BF2C1F9"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473192">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r>
      <w:proofErr w:type="spellStart"/>
      <w:r w:rsidRPr="00F126D6">
        <w:rPr>
          <w:rFonts w:ascii="Times New Roman" w:hAnsi="Times New Roman"/>
          <w:sz w:val="24"/>
          <w:szCs w:val="24"/>
        </w:rPr>
        <w:t>Rantířovská</w:t>
      </w:r>
      <w:proofErr w:type="spellEnd"/>
      <w:r w:rsidRPr="00F126D6">
        <w:rPr>
          <w:rFonts w:ascii="Times New Roman" w:hAnsi="Times New Roman"/>
          <w:sz w:val="24"/>
          <w:szCs w:val="24"/>
        </w:rPr>
        <w:t xml:space="preserve">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203FE16C" w:rsidR="00D61E74" w:rsidRPr="00AE4C3D" w:rsidRDefault="0098486D" w:rsidP="0098545F">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nější nabídky v po</w:t>
      </w:r>
      <w:r w:rsidR="00AE4C3D" w:rsidRPr="00AE4C3D">
        <w:rPr>
          <w:rFonts w:ascii="Times New Roman" w:hAnsi="Times New Roman"/>
          <w:sz w:val="24"/>
          <w:szCs w:val="24"/>
        </w:rPr>
        <w:t>dlimitním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 xml:space="preserve">Svoz a odstranění nebezpečného a komunálního odpadu pro SVÚ Jihlava </w:t>
      </w:r>
      <w:r w:rsidR="0098545F" w:rsidRPr="0098545F">
        <w:rPr>
          <w:rFonts w:ascii="Times New Roman" w:hAnsi="Times New Roman"/>
          <w:b/>
          <w:sz w:val="24"/>
          <w:szCs w:val="24"/>
        </w:rPr>
        <w:t>(pracoviště Jihlava a pracoviště České Budějovice)</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02355F">
        <w:rPr>
          <w:rFonts w:ascii="Times New Roman" w:hAnsi="Times New Roman"/>
          <w:b/>
          <w:sz w:val="24"/>
          <w:szCs w:val="24"/>
        </w:rPr>
        <w:t>D</w:t>
      </w:r>
      <w:r w:rsidR="00DA556C">
        <w:rPr>
          <w:rFonts w:ascii="Times New Roman" w:hAnsi="Times New Roman"/>
          <w:sz w:val="24"/>
          <w:szCs w:val="24"/>
        </w:rPr>
        <w:t>. 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EFDD3DF"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317781" w:rsidRPr="00380F09">
        <w:rPr>
          <w:rFonts w:ascii="Times New Roman" w:hAnsi="Times New Roman"/>
          <w:sz w:val="24"/>
          <w:szCs w:val="24"/>
        </w:rPr>
        <w:t>1</w:t>
      </w:r>
      <w:r w:rsidR="00652BEA" w:rsidRPr="00380F09">
        <w:rPr>
          <w:rFonts w:ascii="Times New Roman" w:hAnsi="Times New Roman"/>
          <w:sz w:val="24"/>
          <w:szCs w:val="24"/>
        </w:rPr>
        <w:t xml:space="preserve">85/2001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zejména v souladu s vyhláškou 383/2001 Sb., o podrobnostech nakládání s odpady, ve znění pozdějších předpisů.</w:t>
      </w:r>
    </w:p>
    <w:p w14:paraId="4289FAE3" w14:textId="093C60D1" w:rsidR="00D0422B" w:rsidRPr="0010285E" w:rsidRDefault="00CA6CFF" w:rsidP="0010285E">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sidRPr="00D10332">
        <w:rPr>
          <w:rFonts w:ascii="Times New Roman" w:hAnsi="Times New Roman"/>
          <w:sz w:val="24"/>
          <w:szCs w:val="24"/>
        </w:rPr>
        <w:t>klinikboxů</w:t>
      </w:r>
      <w:proofErr w:type="spellEnd"/>
      <w:r w:rsidR="00E5121C" w:rsidRPr="00D10332">
        <w:rPr>
          <w:rFonts w:ascii="Times New Roman" w:hAnsi="Times New Roman"/>
          <w:sz w:val="24"/>
          <w:szCs w:val="24"/>
        </w:rPr>
        <w:t xml:space="preserve"> </w:t>
      </w:r>
      <w:r w:rsidR="00C77FF5" w:rsidRPr="00D10332">
        <w:rPr>
          <w:rFonts w:ascii="Times New Roman" w:hAnsi="Times New Roman"/>
          <w:sz w:val="24"/>
          <w:szCs w:val="24"/>
        </w:rPr>
        <w:t xml:space="preserve">o velikosti min. </w:t>
      </w:r>
      <w:r w:rsidR="00D0422B" w:rsidRPr="00D10332">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2394A12D"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D10332">
        <w:rPr>
          <w:rFonts w:ascii="Times New Roman" w:hAnsi="Times New Roman"/>
          <w:sz w:val="24"/>
          <w:szCs w:val="24"/>
        </w:rPr>
        <w:t xml:space="preserve"> Zejména zajistit povinnost vyplývající ze zákona 185/2001 Sb., Zákona o odpadech, § 40.</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580BA254"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6A56C6">
        <w:rPr>
          <w:rFonts w:ascii="Times New Roman" w:hAnsi="Times New Roman"/>
          <w:sz w:val="24"/>
          <w:szCs w:val="24"/>
        </w:rPr>
        <w:t xml:space="preserve"> (3</w:t>
      </w:r>
      <w:r w:rsidR="00705AB9">
        <w:rPr>
          <w:rFonts w:ascii="Times New Roman" w:hAnsi="Times New Roman"/>
          <w:sz w:val="24"/>
          <w:szCs w:val="24"/>
        </w:rPr>
        <w:t xml:space="preserve"> roky</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6C0D4F">
        <w:rPr>
          <w:rFonts w:ascii="Times New Roman" w:hAnsi="Times New Roman"/>
          <w:sz w:val="24"/>
          <w:szCs w:val="24"/>
        </w:rPr>
        <w:t>Předpoklad účinnosti od 1.9.2020.</w:t>
      </w:r>
      <w:bookmarkStart w:id="1" w:name="_GoBack"/>
      <w:bookmarkEnd w:id="1"/>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6D40A157" w:rsidR="003C252A" w:rsidRPr="003C252A" w:rsidRDefault="00473192"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w:t>
      </w:r>
      <w:r w:rsidR="0002355F">
        <w:rPr>
          <w:rFonts w:ascii="Times New Roman" w:hAnsi="Times New Roman"/>
          <w:sz w:val="24"/>
          <w:szCs w:val="24"/>
        </w:rPr>
        <w:t>Dolní 2102/2, 370 04 České Budějovice</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w:t>
      </w:r>
      <w:r w:rsidRPr="0010285E">
        <w:rPr>
          <w:rFonts w:ascii="Times New Roman" w:hAnsi="Times New Roman"/>
          <w:sz w:val="24"/>
          <w:szCs w:val="24"/>
        </w:rPr>
        <w:t>míst</w:t>
      </w:r>
      <w:r w:rsidR="00705AB9" w:rsidRPr="0010285E">
        <w:rPr>
          <w:rFonts w:ascii="Times New Roman" w:hAnsi="Times New Roman"/>
          <w:sz w:val="24"/>
          <w:szCs w:val="24"/>
        </w:rPr>
        <w:t>ě</w:t>
      </w:r>
      <w:r w:rsidR="00F119D5" w:rsidRPr="0010285E">
        <w:rPr>
          <w:rFonts w:ascii="Times New Roman" w:hAnsi="Times New Roman"/>
          <w:sz w:val="24"/>
          <w:szCs w:val="24"/>
        </w:rPr>
        <w:t xml:space="preserve"> </w:t>
      </w:r>
      <w:r w:rsidR="00705AB9" w:rsidRPr="0010285E">
        <w:rPr>
          <w:rFonts w:ascii="Times New Roman" w:hAnsi="Times New Roman"/>
          <w:sz w:val="24"/>
          <w:szCs w:val="24"/>
        </w:rPr>
        <w:t>1</w:t>
      </w:r>
      <w:r w:rsidR="00365697" w:rsidRPr="0010285E">
        <w:rPr>
          <w:rFonts w:ascii="Times New Roman" w:hAnsi="Times New Roman"/>
          <w:sz w:val="24"/>
          <w:szCs w:val="24"/>
        </w:rPr>
        <w:t xml:space="preserve"> krát týdně dle</w:t>
      </w:r>
      <w:r w:rsidR="00365697">
        <w:rPr>
          <w:rFonts w:ascii="Times New Roman" w:hAnsi="Times New Roman"/>
          <w:sz w:val="24"/>
          <w:szCs w:val="24"/>
        </w:rPr>
        <w:t xml:space="preserv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615B1322" w:rsidR="00787F7A" w:rsidRPr="009829BF"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t xml:space="preserve">Hmotnost </w:t>
      </w:r>
      <w:r w:rsidRPr="009829BF">
        <w:rPr>
          <w:rFonts w:ascii="Times New Roman" w:hAnsi="Times New Roman"/>
          <w:sz w:val="24"/>
          <w:szCs w:val="24"/>
        </w:rPr>
        <w:t>odpadu</w:t>
      </w:r>
      <w:r w:rsidR="00204E19" w:rsidRPr="009829BF">
        <w:rPr>
          <w:rFonts w:ascii="Times New Roman" w:hAnsi="Times New Roman"/>
          <w:sz w:val="24"/>
          <w:szCs w:val="24"/>
        </w:rPr>
        <w:t xml:space="preserve"> zajistí zhotovitel prostřednictvím certif</w:t>
      </w:r>
      <w:r w:rsidR="0002355F" w:rsidRPr="009829BF">
        <w:rPr>
          <w:rFonts w:ascii="Times New Roman" w:hAnsi="Times New Roman"/>
          <w:sz w:val="24"/>
          <w:szCs w:val="24"/>
        </w:rPr>
        <w:t>ikovaného vážícího zařízení pro </w:t>
      </w:r>
      <w:r w:rsidR="00204E19" w:rsidRPr="009829BF">
        <w:rPr>
          <w:rFonts w:ascii="Times New Roman" w:hAnsi="Times New Roman"/>
          <w:sz w:val="24"/>
          <w:szCs w:val="24"/>
        </w:rPr>
        <w:t xml:space="preserve">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lastRenderedPageBreak/>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2C2F895F"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185/2001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D08E418" w:rsidR="0019675C" w:rsidRPr="009829BF" w:rsidRDefault="000E4869" w:rsidP="00705AB9">
      <w:pPr>
        <w:numPr>
          <w:ilvl w:val="0"/>
          <w:numId w:val="13"/>
        </w:numPr>
        <w:ind w:left="426" w:hanging="426"/>
        <w:rPr>
          <w:rFonts w:ascii="Times New Roman" w:hAnsi="Times New Roman"/>
          <w:sz w:val="24"/>
          <w:szCs w:val="24"/>
        </w:rPr>
      </w:pPr>
      <w:r w:rsidRPr="009829BF">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9829BF" w:rsidRPr="009829BF">
        <w:rPr>
          <w:rFonts w:ascii="Times New Roman" w:hAnsi="Times New Roman"/>
          <w:sz w:val="24"/>
          <w:szCs w:val="24"/>
        </w:rPr>
        <w:t>.</w:t>
      </w:r>
    </w:p>
    <w:p w14:paraId="4B1603BF" w14:textId="35465727" w:rsidR="0098486D" w:rsidRPr="00AE4C3D" w:rsidRDefault="00AB07D8" w:rsidP="00705AB9">
      <w:pPr>
        <w:pStyle w:val="lnek"/>
        <w:rPr>
          <w:rFonts w:ascii="Times New Roman" w:hAnsi="Times New Roman"/>
          <w:sz w:val="24"/>
          <w:szCs w:val="24"/>
        </w:rPr>
      </w:pPr>
      <w:r w:rsidRPr="009829BF">
        <w:rPr>
          <w:rFonts w:ascii="Times New Roman" w:hAnsi="Times New Roman"/>
          <w:sz w:val="24"/>
          <w:szCs w:val="24"/>
        </w:rPr>
        <w:t xml:space="preserve">Článek </w:t>
      </w:r>
      <w:r w:rsidR="0098486D" w:rsidRPr="009829BF">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7777777"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77843797" w14:textId="77777777"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lastRenderedPageBreak/>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9829BF" w:rsidRDefault="00D61E74" w:rsidP="00C84F62">
      <w:pPr>
        <w:numPr>
          <w:ilvl w:val="0"/>
          <w:numId w:val="17"/>
        </w:numPr>
        <w:ind w:left="426"/>
        <w:rPr>
          <w:rFonts w:ascii="Times New Roman" w:hAnsi="Times New Roman"/>
          <w:sz w:val="24"/>
          <w:szCs w:val="24"/>
        </w:rPr>
      </w:pPr>
      <w:r w:rsidRPr="009829BF">
        <w:rPr>
          <w:rFonts w:ascii="Times New Roman" w:hAnsi="Times New Roman"/>
          <w:sz w:val="24"/>
          <w:szCs w:val="24"/>
        </w:rPr>
        <w:t xml:space="preserve">Smluvní splatnost daňového dokladu bude </w:t>
      </w:r>
      <w:r w:rsidR="00C14CE6" w:rsidRPr="009829BF">
        <w:rPr>
          <w:rFonts w:ascii="Times New Roman" w:hAnsi="Times New Roman"/>
          <w:sz w:val="24"/>
          <w:szCs w:val="24"/>
        </w:rPr>
        <w:t>3</w:t>
      </w:r>
      <w:r w:rsidRPr="009829BF">
        <w:rPr>
          <w:rFonts w:ascii="Times New Roman" w:hAnsi="Times New Roman"/>
          <w:sz w:val="24"/>
          <w:szCs w:val="24"/>
        </w:rPr>
        <w:t xml:space="preserve">0 kalendářních dnů ode dne doručení daňového dokladu </w:t>
      </w:r>
      <w:r w:rsidR="00827E01" w:rsidRPr="009829BF">
        <w:rPr>
          <w:rFonts w:ascii="Times New Roman" w:hAnsi="Times New Roman"/>
          <w:sz w:val="24"/>
          <w:szCs w:val="24"/>
        </w:rPr>
        <w:t>objednatel</w:t>
      </w:r>
      <w:r w:rsidR="00FC1290" w:rsidRPr="009829BF">
        <w:rPr>
          <w:rFonts w:ascii="Times New Roman" w:hAnsi="Times New Roman"/>
          <w:sz w:val="24"/>
          <w:szCs w:val="24"/>
        </w:rPr>
        <w:t>i</w:t>
      </w:r>
      <w:r w:rsidRPr="009829BF">
        <w:rPr>
          <w:rFonts w:ascii="Times New Roman" w:hAnsi="Times New Roman"/>
          <w:sz w:val="24"/>
          <w:szCs w:val="24"/>
        </w:rPr>
        <w:t xml:space="preserve">. </w:t>
      </w:r>
      <w:r w:rsidR="0019675C" w:rsidRPr="009829BF">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9829BF">
        <w:rPr>
          <w:rFonts w:ascii="Times New Roman" w:hAnsi="Times New Roman"/>
          <w:sz w:val="24"/>
          <w:szCs w:val="24"/>
        </w:rPr>
        <w:t>Celkovou a pro účely fakturace rozhodnou cenou se rozumí cena včetně DPH.</w:t>
      </w:r>
      <w:r w:rsidR="00B503D6" w:rsidRPr="009829BF">
        <w:rPr>
          <w:rFonts w:ascii="Times New Roman" w:hAnsi="Times New Roman"/>
          <w:sz w:val="24"/>
          <w:szCs w:val="24"/>
        </w:rPr>
        <w:t xml:space="preserve"> Platby budou probíhat výhradně v CZK  a rovněž veškeré údaje budou uvedeny</w:t>
      </w:r>
      <w:r w:rsidR="00B503D6">
        <w:rPr>
          <w:rFonts w:ascii="Times New Roman" w:hAnsi="Times New Roman"/>
          <w:sz w:val="24"/>
          <w:szCs w:val="24"/>
        </w:rPr>
        <w:t xml:space="preserve">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4D6A91A1" w14:textId="56869898" w:rsidR="00D61E74" w:rsidRPr="009829BF" w:rsidRDefault="00D61E74" w:rsidP="009829BF">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lastRenderedPageBreak/>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0E70ABCF" w14:textId="1DBFD374" w:rsidR="009D3A75" w:rsidRPr="00C84F62" w:rsidRDefault="00B503D6" w:rsidP="00C84F62">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631FD471" w14:textId="77777777" w:rsidR="00C84F62" w:rsidRPr="00C84F62" w:rsidRDefault="00C84F62" w:rsidP="00C84F62">
      <w:pPr>
        <w:pStyle w:val="Default"/>
        <w:spacing w:after="176"/>
        <w:ind w:left="426"/>
        <w:jc w:val="both"/>
        <w:rPr>
          <w:rFonts w:ascii="Times New Roman" w:hAnsi="Times New Roman" w:cs="Times New Roman"/>
        </w:rPr>
      </w:pPr>
    </w:p>
    <w:p w14:paraId="137BDD26" w14:textId="77777777" w:rsidR="00C54F0A" w:rsidRPr="00AE4C3D" w:rsidRDefault="005808B2" w:rsidP="00C54F0A">
      <w:pPr>
        <w:pStyle w:val="lnek"/>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2E81EDED"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02355F">
        <w:rPr>
          <w:rFonts w:ascii="Times New Roman" w:hAnsi="Times New Roman"/>
          <w:sz w:val="24"/>
          <w:szCs w:val="24"/>
        </w:rPr>
        <w:t xml:space="preserve"> – jedná se zejména o </w:t>
      </w:r>
      <w:r w:rsidR="00F05E27">
        <w:rPr>
          <w:rFonts w:ascii="Times New Roman" w:hAnsi="Times New Roman"/>
          <w:sz w:val="24"/>
          <w:szCs w:val="24"/>
        </w:rPr>
        <w:t>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9829BF">
        <w:rPr>
          <w:rFonts w:ascii="Times New Roman" w:hAnsi="Times New Roman"/>
          <w:sz w:val="24"/>
          <w:szCs w:val="24"/>
        </w:rPr>
        <w:t xml:space="preserve">výši </w:t>
      </w:r>
      <w:r w:rsidR="001A3FEF" w:rsidRPr="009829BF">
        <w:rPr>
          <w:rFonts w:ascii="Times New Roman" w:hAnsi="Times New Roman"/>
          <w:sz w:val="24"/>
          <w:szCs w:val="24"/>
        </w:rPr>
        <w:t xml:space="preserve">10 000,- </w:t>
      </w:r>
      <w:r w:rsidR="00610065" w:rsidRPr="009829BF">
        <w:rPr>
          <w:rFonts w:ascii="Times New Roman" w:hAnsi="Times New Roman"/>
          <w:sz w:val="24"/>
          <w:szCs w:val="24"/>
        </w:rPr>
        <w:t> Kč</w:t>
      </w:r>
      <w:r w:rsidRPr="009829BF">
        <w:rPr>
          <w:rFonts w:ascii="Times New Roman" w:hAnsi="Times New Roman"/>
          <w:sz w:val="24"/>
          <w:szCs w:val="24"/>
        </w:rPr>
        <w:t xml:space="preserve"> za každý den prodlení</w:t>
      </w:r>
      <w:r w:rsidR="001A3FEF" w:rsidRPr="009829BF">
        <w:rPr>
          <w:rFonts w:ascii="Times New Roman" w:hAnsi="Times New Roman"/>
          <w:sz w:val="24"/>
          <w:szCs w:val="24"/>
        </w:rPr>
        <w:t>, kdy nedojde</w:t>
      </w:r>
      <w:r w:rsidR="001A3FEF">
        <w:rPr>
          <w:rFonts w:ascii="Times New Roman" w:hAnsi="Times New Roman"/>
          <w:sz w:val="24"/>
          <w:szCs w:val="24"/>
        </w:rPr>
        <w:t xml:space="preserve"> k odvozu odpadu v dohodnutém čase</w:t>
      </w:r>
      <w:r w:rsidR="0002355F">
        <w:rPr>
          <w:rFonts w:ascii="Times New Roman" w:hAnsi="Times New Roman"/>
          <w:sz w:val="24"/>
          <w:szCs w:val="24"/>
        </w:rPr>
        <w:t>.</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05C879F2" w:rsidR="0028492A" w:rsidRPr="009829BF" w:rsidRDefault="0028492A" w:rsidP="00B505BB">
      <w:pPr>
        <w:numPr>
          <w:ilvl w:val="0"/>
          <w:numId w:val="19"/>
        </w:numPr>
        <w:ind w:left="426"/>
        <w:rPr>
          <w:rFonts w:ascii="Times New Roman" w:hAnsi="Times New Roman"/>
          <w:sz w:val="24"/>
          <w:szCs w:val="24"/>
        </w:rPr>
      </w:pPr>
      <w:r w:rsidRPr="009829BF">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Pr>
          <w:rFonts w:ascii="Times New Roman" w:hAnsi="Times New Roman"/>
          <w:sz w:val="24"/>
          <w:szCs w:val="24"/>
        </w:rPr>
        <w:t xml:space="preserve">Smluvní pokuty a úroky z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9829BF"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9829BF">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lastRenderedPageBreak/>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B2C0F5"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tedy zda odpovídají podmínkám této smlouvy, zadávací</w:t>
      </w:r>
      <w:r w:rsidR="005B7FD8">
        <w:rPr>
          <w:rFonts w:ascii="Times New Roman" w:hAnsi="Times New Roman"/>
          <w:sz w:val="24"/>
          <w:szCs w:val="24"/>
        </w:rPr>
        <w:t>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0D6D839D" w:rsidR="004C7027" w:rsidRDefault="004C7027" w:rsidP="00B505BB">
      <w:pPr>
        <w:numPr>
          <w:ilvl w:val="0"/>
          <w:numId w:val="23"/>
        </w:numPr>
        <w:ind w:left="426"/>
        <w:rPr>
          <w:rFonts w:ascii="Times New Roman" w:hAnsi="Times New Roman"/>
          <w:sz w:val="24"/>
          <w:szCs w:val="24"/>
        </w:rPr>
      </w:pPr>
      <w:r w:rsidRPr="009829BF">
        <w:rPr>
          <w:rFonts w:ascii="Times New Roman" w:hAnsi="Times New Roman"/>
          <w:sz w:val="24"/>
          <w:szCs w:val="24"/>
        </w:rPr>
        <w:t xml:space="preserve">Tato smlouva může být ukončena také písemnou výpovědí bez uvedení </w:t>
      </w:r>
      <w:proofErr w:type="gramStart"/>
      <w:r w:rsidRPr="009829BF">
        <w:rPr>
          <w:rFonts w:ascii="Times New Roman" w:hAnsi="Times New Roman"/>
          <w:sz w:val="24"/>
          <w:szCs w:val="24"/>
        </w:rPr>
        <w:t>důvodu</w:t>
      </w:r>
      <w:proofErr w:type="gramEnd"/>
      <w:r w:rsidRPr="009829BF">
        <w:rPr>
          <w:rFonts w:ascii="Times New Roman" w:hAnsi="Times New Roman"/>
          <w:sz w:val="24"/>
          <w:szCs w:val="24"/>
        </w:rPr>
        <w:t xml:space="preserve"> s </w:t>
      </w:r>
      <w:r w:rsidR="009829BF" w:rsidRPr="009829BF">
        <w:rPr>
          <w:rFonts w:ascii="Times New Roman" w:hAnsi="Times New Roman"/>
          <w:sz w:val="24"/>
          <w:szCs w:val="24"/>
        </w:rPr>
        <w:t>3</w:t>
      </w:r>
      <w:r w:rsidRPr="009829BF">
        <w:rPr>
          <w:rFonts w:ascii="Times New Roman" w:hAnsi="Times New Roman"/>
          <w:sz w:val="24"/>
          <w:szCs w:val="24"/>
        </w:rPr>
        <w:t xml:space="preserve"> měsíční výpovědní </w:t>
      </w:r>
      <w:proofErr w:type="gramStart"/>
      <w:r w:rsidRPr="009829BF">
        <w:rPr>
          <w:rFonts w:ascii="Times New Roman" w:hAnsi="Times New Roman"/>
          <w:sz w:val="24"/>
          <w:szCs w:val="24"/>
        </w:rPr>
        <w:t>lhůtou, která</w:t>
      </w:r>
      <w:proofErr w:type="gramEnd"/>
      <w:r w:rsidRPr="009829BF">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w:t>
      </w:r>
      <w:r w:rsidRPr="004C7027">
        <w:rPr>
          <w:rFonts w:ascii="Times New Roman" w:hAnsi="Times New Roman"/>
          <w:sz w:val="24"/>
          <w:szCs w:val="24"/>
        </w:rPr>
        <w:t xml:space="preserve">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lastRenderedPageBreak/>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77777777"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lastRenderedPageBreak/>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45A929B" w:rsidR="00D61E74" w:rsidRDefault="00D61E74" w:rsidP="00491EA4">
      <w:pPr>
        <w:rPr>
          <w:rFonts w:ascii="Times New Roman" w:hAnsi="Times New Roman"/>
          <w:sz w:val="24"/>
          <w:szCs w:val="24"/>
        </w:rPr>
      </w:pPr>
      <w:r w:rsidRPr="00AC1783">
        <w:rPr>
          <w:rFonts w:ascii="Times New Roman" w:hAnsi="Times New Roman"/>
          <w:sz w:val="24"/>
          <w:szCs w:val="24"/>
          <w:highlight w:val="darkGray"/>
        </w:rPr>
        <w:t>V</w:t>
      </w:r>
      <w:r w:rsidR="00AC1783" w:rsidRPr="00AC1783">
        <w:rPr>
          <w:rFonts w:ascii="Times New Roman" w:hAnsi="Times New Roman"/>
          <w:sz w:val="24"/>
          <w:szCs w:val="24"/>
          <w:highlight w:val="darkGray"/>
        </w:rPr>
        <w:t>………………</w:t>
      </w:r>
      <w:proofErr w:type="gramStart"/>
      <w:r w:rsidR="00AC1783" w:rsidRPr="00AC1783">
        <w:rPr>
          <w:rFonts w:ascii="Times New Roman" w:hAnsi="Times New Roman"/>
          <w:sz w:val="24"/>
          <w:szCs w:val="24"/>
          <w:highlight w:val="darkGray"/>
        </w:rPr>
        <w:t>….</w:t>
      </w:r>
      <w:r w:rsidRPr="00AC1783">
        <w:rPr>
          <w:rFonts w:ascii="Times New Roman" w:hAnsi="Times New Roman"/>
          <w:sz w:val="24"/>
          <w:szCs w:val="24"/>
          <w:highlight w:val="darkGray"/>
        </w:rPr>
        <w:t>dne</w:t>
      </w:r>
      <w:proofErr w:type="gramEnd"/>
      <w:r w:rsidR="00AC1783" w:rsidRPr="00AC1783">
        <w:rPr>
          <w:rFonts w:ascii="Times New Roman" w:hAnsi="Times New Roman"/>
          <w:sz w:val="24"/>
          <w:szCs w:val="24"/>
          <w:highlight w:val="darkGray"/>
        </w:rPr>
        <w:t>……..</w:t>
      </w:r>
      <w:r w:rsidRPr="00AE4C3D">
        <w:rPr>
          <w:rFonts w:ascii="Times New Roman" w:hAnsi="Times New Roman"/>
          <w:sz w:val="24"/>
          <w:szCs w:val="24"/>
        </w:rPr>
        <w:tab/>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2C99C1D1" w:rsidR="00095B07" w:rsidRPr="00A214AD" w:rsidRDefault="00095B07" w:rsidP="00A214AD">
      <w:r w:rsidRPr="00AC1783">
        <w:rPr>
          <w:highlight w:val="darkGray"/>
        </w:rPr>
        <w:t>……………………………………………………</w:t>
      </w:r>
      <w:r w:rsidR="00AC1783">
        <w:rPr>
          <w:highlight w:val="darkGray"/>
        </w:rPr>
        <w:t>…</w:t>
      </w:r>
      <w:r w:rsidR="00AC1783" w:rsidRPr="00AC1783">
        <w:rPr>
          <w:highlight w:val="darkGray"/>
        </w:rPr>
        <w:t>……</w:t>
      </w:r>
      <w:r>
        <w:tab/>
      </w:r>
      <w:r>
        <w:tab/>
      </w:r>
      <w:r>
        <w:tab/>
      </w:r>
      <w:r>
        <w:tab/>
      </w:r>
      <w:r>
        <w:tab/>
      </w:r>
      <w:r>
        <w:tab/>
      </w:r>
      <w:r>
        <w:tab/>
      </w:r>
      <w:r>
        <w:tab/>
      </w:r>
      <w:r>
        <w:tab/>
        <w:t>……………………………………………..</w:t>
      </w:r>
    </w:p>
    <w:p w14:paraId="420F0F0F" w14:textId="07D43C58" w:rsidR="00D61E74" w:rsidRPr="00AE4C3D" w:rsidRDefault="00AC1783" w:rsidP="00491EA4">
      <w:pPr>
        <w:rPr>
          <w:rFonts w:ascii="Times New Roman" w:hAnsi="Times New Roman"/>
          <w:sz w:val="24"/>
          <w:szCs w:val="24"/>
        </w:rPr>
      </w:pPr>
      <w:r w:rsidRPr="00AC1783">
        <w:rPr>
          <w:rFonts w:ascii="Times New Roman" w:hAnsi="Times New Roman"/>
          <w:sz w:val="24"/>
          <w:szCs w:val="24"/>
          <w:highlight w:val="darkGray"/>
        </w:rPr>
        <w:t>za zhotovitele:</w:t>
      </w:r>
      <w:r w:rsidRPr="00AC1783">
        <w:rPr>
          <w:rFonts w:ascii="Times New Roman" w:hAnsi="Times New Roman"/>
          <w:sz w:val="24"/>
          <w:szCs w:val="24"/>
        </w:rPr>
        <w:t xml:space="preserve"> </w:t>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05069091"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326EBC" w:rsidRDefault="00326EBC" w:rsidP="00EA0DFD">
      <w:pPr>
        <w:spacing w:after="0"/>
      </w:pPr>
      <w:r>
        <w:separator/>
      </w:r>
    </w:p>
  </w:endnote>
  <w:endnote w:type="continuationSeparator" w:id="0">
    <w:p w14:paraId="7310EDC7" w14:textId="77777777" w:rsidR="00326EBC" w:rsidRDefault="00326EBC"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6D9DF15E" w:rsidR="00EA0DFD" w:rsidRDefault="00EA0DFD">
    <w:pPr>
      <w:pStyle w:val="Zpat"/>
      <w:jc w:val="center"/>
    </w:pPr>
    <w:r>
      <w:fldChar w:fldCharType="begin"/>
    </w:r>
    <w:r>
      <w:instrText>PAGE   \* MERGEFORMAT</w:instrText>
    </w:r>
    <w:r>
      <w:fldChar w:fldCharType="separate"/>
    </w:r>
    <w:r w:rsidR="006C0D4F">
      <w:rPr>
        <w:noProof/>
      </w:rPr>
      <w:t>8</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326EBC" w:rsidRDefault="00326EBC" w:rsidP="00EA0DFD">
      <w:pPr>
        <w:spacing w:after="0"/>
      </w:pPr>
      <w:r>
        <w:separator/>
      </w:r>
    </w:p>
  </w:footnote>
  <w:footnote w:type="continuationSeparator" w:id="0">
    <w:p w14:paraId="4EF083A2" w14:textId="77777777" w:rsidR="00326EBC" w:rsidRDefault="00326EBC"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355F"/>
    <w:rsid w:val="00024739"/>
    <w:rsid w:val="0004281C"/>
    <w:rsid w:val="00044565"/>
    <w:rsid w:val="00062C5E"/>
    <w:rsid w:val="0008456A"/>
    <w:rsid w:val="00095B07"/>
    <w:rsid w:val="000A5DB8"/>
    <w:rsid w:val="000D03B9"/>
    <w:rsid w:val="000D2CB1"/>
    <w:rsid w:val="000D56FE"/>
    <w:rsid w:val="000D6581"/>
    <w:rsid w:val="000E4869"/>
    <w:rsid w:val="000F0105"/>
    <w:rsid w:val="000F1566"/>
    <w:rsid w:val="0010285E"/>
    <w:rsid w:val="00171614"/>
    <w:rsid w:val="0018056B"/>
    <w:rsid w:val="0019675C"/>
    <w:rsid w:val="001A3FEF"/>
    <w:rsid w:val="001B1EAC"/>
    <w:rsid w:val="00204E19"/>
    <w:rsid w:val="00213A32"/>
    <w:rsid w:val="00236F59"/>
    <w:rsid w:val="00250401"/>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506C1"/>
    <w:rsid w:val="00473192"/>
    <w:rsid w:val="00490AC6"/>
    <w:rsid w:val="00491EA4"/>
    <w:rsid w:val="004A4B47"/>
    <w:rsid w:val="004A76D9"/>
    <w:rsid w:val="004C7027"/>
    <w:rsid w:val="004F6ED7"/>
    <w:rsid w:val="00503CA1"/>
    <w:rsid w:val="00517598"/>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A56C6"/>
    <w:rsid w:val="006C0D4F"/>
    <w:rsid w:val="006C4534"/>
    <w:rsid w:val="00705AB9"/>
    <w:rsid w:val="007133EC"/>
    <w:rsid w:val="007254A4"/>
    <w:rsid w:val="00731472"/>
    <w:rsid w:val="00750B22"/>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259D7"/>
    <w:rsid w:val="00931D5F"/>
    <w:rsid w:val="00960360"/>
    <w:rsid w:val="0096066B"/>
    <w:rsid w:val="009829BF"/>
    <w:rsid w:val="0098486D"/>
    <w:rsid w:val="0098545F"/>
    <w:rsid w:val="009A087D"/>
    <w:rsid w:val="009A2D0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C1783"/>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C14CE6"/>
    <w:rsid w:val="00C32863"/>
    <w:rsid w:val="00C52F63"/>
    <w:rsid w:val="00C54F0A"/>
    <w:rsid w:val="00C77FF5"/>
    <w:rsid w:val="00C82FD2"/>
    <w:rsid w:val="00C84F62"/>
    <w:rsid w:val="00CA6CFF"/>
    <w:rsid w:val="00CC3DD6"/>
    <w:rsid w:val="00CD65A4"/>
    <w:rsid w:val="00CF1561"/>
    <w:rsid w:val="00D0422B"/>
    <w:rsid w:val="00D10332"/>
    <w:rsid w:val="00D318E6"/>
    <w:rsid w:val="00D412E2"/>
    <w:rsid w:val="00D61E74"/>
    <w:rsid w:val="00D74F20"/>
    <w:rsid w:val="00D97CAC"/>
    <w:rsid w:val="00DA442C"/>
    <w:rsid w:val="00DA556C"/>
    <w:rsid w:val="00DC699E"/>
    <w:rsid w:val="00DF0748"/>
    <w:rsid w:val="00E04E4A"/>
    <w:rsid w:val="00E371AA"/>
    <w:rsid w:val="00E5121C"/>
    <w:rsid w:val="00E60CED"/>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3A760-F416-4239-BE45-5C8E1BD97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3046</Words>
  <Characters>17975</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11</cp:revision>
  <cp:lastPrinted>2017-04-27T11:10:00Z</cp:lastPrinted>
  <dcterms:created xsi:type="dcterms:W3CDTF">2017-03-29T12:21:00Z</dcterms:created>
  <dcterms:modified xsi:type="dcterms:W3CDTF">2020-06-25T10:11:00Z</dcterms:modified>
</cp:coreProperties>
</file>