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E3A2" w14:textId="77777777" w:rsidR="001C10BC" w:rsidRPr="001C10BC" w:rsidRDefault="001C10BC" w:rsidP="001C10BC">
      <w:pPr>
        <w:keepNext/>
        <w:spacing w:before="240" w:after="60" w:line="276" w:lineRule="auto"/>
        <w:jc w:val="center"/>
        <w:outlineLvl w:val="0"/>
        <w:rPr>
          <w:rFonts w:asciiTheme="minorHAnsi" w:hAnsiTheme="minorHAnsi" w:cstheme="minorHAnsi"/>
          <w:b/>
          <w:kern w:val="32"/>
          <w:sz w:val="32"/>
          <w:szCs w:val="32"/>
        </w:rPr>
      </w:pPr>
      <w:r w:rsidRPr="001C10BC">
        <w:rPr>
          <w:rFonts w:asciiTheme="minorHAnsi" w:hAnsiTheme="minorHAnsi" w:cstheme="minorHAnsi"/>
          <w:b/>
          <w:kern w:val="32"/>
          <w:sz w:val="32"/>
          <w:szCs w:val="32"/>
        </w:rPr>
        <w:t>Technická specifikace technologie/vybavení</w:t>
      </w:r>
    </w:p>
    <w:p w14:paraId="77E56197" w14:textId="77777777" w:rsidR="001C10BC" w:rsidRPr="001C10BC" w:rsidRDefault="001C10BC" w:rsidP="001C10BC">
      <w:pPr>
        <w:keepNext/>
        <w:spacing w:before="240" w:after="60" w:line="276" w:lineRule="auto"/>
        <w:jc w:val="center"/>
        <w:outlineLvl w:val="0"/>
        <w:rPr>
          <w:rFonts w:asciiTheme="minorHAnsi" w:hAnsiTheme="minorHAnsi" w:cstheme="minorHAnsi"/>
          <w:b/>
          <w:kern w:val="32"/>
          <w:sz w:val="28"/>
          <w:szCs w:val="36"/>
        </w:rPr>
      </w:pPr>
      <w:r w:rsidRPr="001C10BC">
        <w:rPr>
          <w:rFonts w:asciiTheme="minorHAnsi" w:hAnsiTheme="minorHAnsi" w:cstheme="minorHAnsi"/>
          <w:b/>
          <w:kern w:val="32"/>
          <w:sz w:val="28"/>
          <w:szCs w:val="36"/>
        </w:rPr>
        <w:t>Minimální požadované technické parametry předmětu plnění</w:t>
      </w:r>
    </w:p>
    <w:p w14:paraId="35DDD059" w14:textId="77777777" w:rsidR="001C10BC" w:rsidRPr="001C10BC" w:rsidRDefault="001C10BC" w:rsidP="001C10BC">
      <w:pPr>
        <w:rPr>
          <w:rFonts w:asciiTheme="minorHAnsi" w:hAnsiTheme="minorHAnsi" w:cstheme="minorHAnsi"/>
          <w:b/>
          <w:bCs/>
        </w:rPr>
      </w:pPr>
    </w:p>
    <w:p w14:paraId="15499FD5" w14:textId="69AE6169" w:rsidR="001C10BC" w:rsidRDefault="001C10BC" w:rsidP="00D22C5A">
      <w:pPr>
        <w:ind w:left="2977" w:right="-284" w:hanging="2977"/>
        <w:rPr>
          <w:rFonts w:asciiTheme="minorHAnsi" w:hAnsiTheme="minorHAnsi" w:cstheme="minorHAnsi"/>
          <w:b/>
          <w:sz w:val="24"/>
          <w:szCs w:val="24"/>
        </w:rPr>
      </w:pPr>
      <w:r w:rsidRPr="001C10BC">
        <w:rPr>
          <w:rFonts w:asciiTheme="minorHAnsi" w:hAnsiTheme="minorHAnsi" w:cstheme="minorHAnsi"/>
          <w:b/>
          <w:sz w:val="24"/>
          <w:szCs w:val="24"/>
        </w:rPr>
        <w:t xml:space="preserve">Název technologie: </w:t>
      </w:r>
      <w:r w:rsidR="00D22C5A" w:rsidRPr="00D22C5A">
        <w:rPr>
          <w:rFonts w:asciiTheme="minorHAnsi" w:hAnsiTheme="minorHAnsi" w:cstheme="minorHAnsi"/>
          <w:b/>
          <w:sz w:val="24"/>
          <w:szCs w:val="24"/>
        </w:rPr>
        <w:t xml:space="preserve">Biohazard box – </w:t>
      </w:r>
      <w:proofErr w:type="spellStart"/>
      <w:r w:rsidR="00D22C5A" w:rsidRPr="00D22C5A">
        <w:rPr>
          <w:rFonts w:asciiTheme="minorHAnsi" w:hAnsiTheme="minorHAnsi" w:cstheme="minorHAnsi"/>
          <w:b/>
          <w:sz w:val="24"/>
          <w:szCs w:val="24"/>
        </w:rPr>
        <w:t>flow</w:t>
      </w:r>
      <w:proofErr w:type="spellEnd"/>
      <w:r w:rsidR="00D22C5A" w:rsidRPr="00D22C5A">
        <w:rPr>
          <w:rFonts w:asciiTheme="minorHAnsi" w:hAnsiTheme="minorHAnsi" w:cstheme="minorHAnsi"/>
          <w:b/>
          <w:sz w:val="24"/>
          <w:szCs w:val="24"/>
        </w:rPr>
        <w:t xml:space="preserve"> box</w:t>
      </w:r>
    </w:p>
    <w:p w14:paraId="61DBED82" w14:textId="77777777" w:rsidR="00D22C5A" w:rsidRPr="001C10BC" w:rsidRDefault="00D22C5A" w:rsidP="00D22C5A">
      <w:pPr>
        <w:ind w:left="2977" w:right="-284" w:hanging="297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855B1C" w14:textId="77777777" w:rsidR="001C10BC" w:rsidRPr="001C10BC" w:rsidRDefault="001C10BC" w:rsidP="001C10B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10BC">
        <w:rPr>
          <w:rFonts w:asciiTheme="minorHAnsi" w:hAnsiTheme="minorHAnsi" w:cstheme="minorHAnsi"/>
          <w:b/>
          <w:color w:val="000000"/>
          <w:sz w:val="24"/>
          <w:szCs w:val="24"/>
        </w:rPr>
        <w:t>Stručný popis technologie a stanovení výzkumného účelu a využití:</w:t>
      </w:r>
    </w:p>
    <w:p w14:paraId="4B052BDF" w14:textId="77777777" w:rsidR="001C10BC" w:rsidRPr="001C10BC" w:rsidRDefault="001C10BC" w:rsidP="001C10B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E80AA1" w14:textId="43ECE41B" w:rsidR="001C10BC" w:rsidRDefault="00D22C5A" w:rsidP="001C10B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2C5A">
        <w:rPr>
          <w:rFonts w:asciiTheme="minorHAnsi" w:hAnsiTheme="minorHAnsi" w:cstheme="minorHAnsi"/>
          <w:color w:val="000000"/>
          <w:sz w:val="22"/>
          <w:szCs w:val="22"/>
        </w:rPr>
        <w:t>Biohazard box je nezbytný pro omezení rizika vzájemné kontaminace vzorků během přípravy PCR.</w:t>
      </w:r>
    </w:p>
    <w:p w14:paraId="71F7B4C6" w14:textId="77777777" w:rsidR="00D22C5A" w:rsidRPr="001C10BC" w:rsidRDefault="00D22C5A" w:rsidP="001C10B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969"/>
        <w:gridCol w:w="1701"/>
        <w:gridCol w:w="1418"/>
        <w:gridCol w:w="46"/>
      </w:tblGrid>
      <w:tr w:rsidR="00D22C5A" w:rsidRPr="00D936B7" w14:paraId="3E670629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9A053F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Popis parametru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C82D69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Zadavatelem požadovaná 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2E1B8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Uchazečem nabízená hodnota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A421C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Závaznost</w:t>
            </w:r>
          </w:p>
        </w:tc>
      </w:tr>
      <w:tr w:rsidR="0090460D" w:rsidRPr="00D936B7" w14:paraId="34FD3F99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3282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Dodavatel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003" w14:textId="77777777" w:rsidR="0090460D" w:rsidRPr="00D22C5A" w:rsidRDefault="0090460D" w:rsidP="009046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211" w14:textId="3077F48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015CB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5CB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3015CB">
              <w:rPr>
                <w:rFonts w:ascii="Calibri" w:hAnsi="Calibri"/>
                <w:szCs w:val="22"/>
                <w:highlight w:val="yellow"/>
              </w:rPr>
            </w:r>
            <w:r w:rsidRPr="003015CB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AE3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60D" w:rsidRPr="00D936B7" w14:paraId="215520DD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8ED8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27F" w14:textId="77777777" w:rsidR="0090460D" w:rsidRPr="00D22C5A" w:rsidRDefault="0090460D" w:rsidP="009046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00F" w14:textId="04EC9D2A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015CB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5CB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3015CB">
              <w:rPr>
                <w:rFonts w:ascii="Calibri" w:hAnsi="Calibri"/>
                <w:szCs w:val="22"/>
                <w:highlight w:val="yellow"/>
              </w:rPr>
            </w:r>
            <w:r w:rsidRPr="003015CB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015CB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4D6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C5A" w:rsidRPr="00D936B7" w14:paraId="2E19E2B1" w14:textId="77777777" w:rsidTr="00D22C5A">
        <w:trPr>
          <w:gridAfter w:val="1"/>
          <w:wAfter w:w="46" w:type="dxa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DD3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b/>
                <w:sz w:val="22"/>
                <w:szCs w:val="22"/>
              </w:rPr>
              <w:t>Požadované parametry technologie:</w:t>
            </w:r>
          </w:p>
        </w:tc>
      </w:tr>
      <w:tr w:rsidR="0090460D" w:rsidRPr="00D936B7" w14:paraId="73554FE4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E61" w14:textId="77777777" w:rsidR="0090460D" w:rsidRPr="00D22C5A" w:rsidRDefault="0090460D" w:rsidP="00904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Proudění vzduchu a filtrace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2AA" w14:textId="77777777" w:rsidR="00354EEA" w:rsidRPr="00354EEA" w:rsidRDefault="00354EEA" w:rsidP="00354E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EEA">
              <w:rPr>
                <w:rFonts w:asciiTheme="minorHAnsi" w:hAnsiTheme="minorHAnsi" w:cstheme="minorHAnsi"/>
                <w:sz w:val="22"/>
                <w:szCs w:val="22"/>
              </w:rPr>
              <w:t xml:space="preserve">Řízená ventilace vzduchu – vertikální laminární proudění, min. 2 HEPA filtry. </w:t>
            </w:r>
          </w:p>
          <w:p w14:paraId="6C78164E" w14:textId="70987FC4" w:rsidR="0090460D" w:rsidRPr="00D22C5A" w:rsidRDefault="00354EEA" w:rsidP="00354E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EEA">
              <w:rPr>
                <w:rFonts w:asciiTheme="minorHAnsi" w:hAnsiTheme="minorHAnsi" w:cstheme="minorHAnsi"/>
                <w:sz w:val="22"/>
                <w:szCs w:val="22"/>
              </w:rPr>
              <w:t xml:space="preserve">Možnost připojení uhlíkového filtru nebo vývodu ven z budovy. </w:t>
            </w:r>
            <w:proofErr w:type="spellStart"/>
            <w:r w:rsidRPr="00354EEA">
              <w:rPr>
                <w:rFonts w:asciiTheme="minorHAnsi" w:hAnsiTheme="minorHAnsi" w:cstheme="minorHAnsi"/>
                <w:sz w:val="22"/>
                <w:szCs w:val="22"/>
              </w:rPr>
              <w:t>Prefiltr</w:t>
            </w:r>
            <w:proofErr w:type="spellEnd"/>
            <w:r w:rsidRPr="00354EEA">
              <w:rPr>
                <w:rFonts w:asciiTheme="minorHAnsi" w:hAnsiTheme="minorHAnsi" w:cstheme="minorHAnsi"/>
                <w:sz w:val="22"/>
                <w:szCs w:val="22"/>
              </w:rPr>
              <w:t xml:space="preserve"> jako zábrana průniku nežádoucích předmětů k HEPA filtru.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E78" w14:textId="476B21C5" w:rsidR="0090460D" w:rsidRPr="00D22C5A" w:rsidRDefault="0090460D" w:rsidP="0090460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CC2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CC2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370CC2">
              <w:rPr>
                <w:rFonts w:ascii="Calibri" w:hAnsi="Calibri"/>
                <w:szCs w:val="22"/>
                <w:highlight w:val="yellow"/>
              </w:rPr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D3B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 xml:space="preserve">Podmínka </w:t>
            </w:r>
          </w:p>
        </w:tc>
      </w:tr>
      <w:tr w:rsidR="0090460D" w:rsidRPr="00D936B7" w14:paraId="40B309FF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C767" w14:textId="77777777" w:rsidR="0090460D" w:rsidRPr="00D22C5A" w:rsidRDefault="0090460D" w:rsidP="00904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Pracovní plocha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1B5" w14:textId="52E4245B" w:rsidR="0090460D" w:rsidRPr="00D22C5A" w:rsidRDefault="00354EEA" w:rsidP="009046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EEA">
              <w:rPr>
                <w:rFonts w:asciiTheme="minorHAnsi" w:hAnsiTheme="minorHAnsi" w:cstheme="minorHAnsi"/>
                <w:sz w:val="22"/>
                <w:szCs w:val="22"/>
              </w:rPr>
              <w:t>Dělená, neperforovaná pracovní plocha z nerezavějícího odolného a snadno udržovatelného a dezinfikovatelného materiálu.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E0C" w14:textId="73FB5F2D" w:rsidR="0090460D" w:rsidRPr="00D22C5A" w:rsidRDefault="0090460D" w:rsidP="0090460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CC2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CC2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370CC2">
              <w:rPr>
                <w:rFonts w:ascii="Calibri" w:hAnsi="Calibri"/>
                <w:szCs w:val="22"/>
                <w:highlight w:val="yellow"/>
              </w:rPr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E69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</w:tr>
      <w:tr w:rsidR="0090460D" w:rsidRPr="00D936B7" w14:paraId="6558DB8B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4C30" w14:textId="77777777" w:rsidR="0090460D" w:rsidRPr="00D22C5A" w:rsidRDefault="0090460D" w:rsidP="00904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Ovládání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B07" w14:textId="7C8A76B6" w:rsidR="0090460D" w:rsidRPr="00D22C5A" w:rsidRDefault="00354EEA" w:rsidP="009046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EEA">
              <w:rPr>
                <w:rFonts w:asciiTheme="minorHAnsi" w:hAnsiTheme="minorHAnsi" w:cstheme="minorHAnsi"/>
                <w:sz w:val="22"/>
                <w:szCs w:val="22"/>
              </w:rPr>
              <w:t>Displej pro ovládání osvětlení, časovače UV a alarmových hlášení, digitální počitadlo pracovních hodin, akustická i vizuální signalizace poruchy.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139" w14:textId="0D7F2EAC" w:rsidR="0090460D" w:rsidRPr="00D22C5A" w:rsidRDefault="0090460D" w:rsidP="0090460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CC2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CC2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370CC2">
              <w:rPr>
                <w:rFonts w:ascii="Calibri" w:hAnsi="Calibri"/>
                <w:szCs w:val="22"/>
                <w:highlight w:val="yellow"/>
              </w:rPr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DD6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</w:tr>
      <w:tr w:rsidR="0090460D" w:rsidRPr="00D936B7" w14:paraId="7DB74DA9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6A1" w14:textId="77777777" w:rsidR="0090460D" w:rsidRPr="00D22C5A" w:rsidRDefault="0090460D" w:rsidP="00904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Čelní sklo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DE2" w14:textId="2C1C11D7" w:rsidR="0090460D" w:rsidRPr="00D22C5A" w:rsidRDefault="00354EEA" w:rsidP="009046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EEA">
              <w:rPr>
                <w:rFonts w:asciiTheme="minorHAnsi" w:hAnsiTheme="minorHAnsi" w:cstheme="minorHAnsi"/>
                <w:sz w:val="22"/>
                <w:szCs w:val="22"/>
              </w:rPr>
              <w:t>Posuvné čelní sklo s UV ochranou s možností kompletního vyklopení pro snadné čištění, elektronické ovládání posuvu čelního skla.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DD8" w14:textId="632E308F" w:rsidR="0090460D" w:rsidRPr="00D22C5A" w:rsidRDefault="0090460D" w:rsidP="0090460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CC2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CC2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370CC2">
              <w:rPr>
                <w:rFonts w:ascii="Calibri" w:hAnsi="Calibri"/>
                <w:szCs w:val="22"/>
                <w:highlight w:val="yellow"/>
              </w:rPr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76C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</w:tr>
      <w:tr w:rsidR="0090460D" w:rsidRPr="00D936B7" w14:paraId="15EE6CEB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E04" w14:textId="77777777" w:rsidR="0090460D" w:rsidRPr="00D22C5A" w:rsidRDefault="0090460D" w:rsidP="00904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Rozměry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8F3" w14:textId="66F90CDD" w:rsidR="0090460D" w:rsidRPr="00D22C5A" w:rsidRDefault="0090460D" w:rsidP="0090460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Min. vnitřní rozměr: (š) 1200 x (h) 61</w:t>
            </w:r>
            <w:r w:rsidR="00354E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1BE" w14:textId="7E09C100" w:rsidR="0090460D" w:rsidRPr="00D22C5A" w:rsidRDefault="0090460D" w:rsidP="0090460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CC2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CC2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370CC2">
              <w:rPr>
                <w:rFonts w:ascii="Calibri" w:hAnsi="Calibri"/>
                <w:szCs w:val="22"/>
                <w:highlight w:val="yellow"/>
              </w:rPr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A19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</w:tr>
      <w:tr w:rsidR="0090460D" w:rsidRPr="00D936B7" w14:paraId="4CE9D967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0D0" w14:textId="77777777" w:rsidR="0090460D" w:rsidRPr="00D22C5A" w:rsidRDefault="0090460D" w:rsidP="00904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Další požadované vlastnosti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67E" w14:textId="77777777" w:rsidR="00354EEA" w:rsidRPr="00354EEA" w:rsidRDefault="00354EEA" w:rsidP="00354E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EEA">
              <w:rPr>
                <w:rFonts w:asciiTheme="minorHAnsi" w:hAnsiTheme="minorHAnsi" w:cstheme="minorHAnsi"/>
                <w:sz w:val="22"/>
                <w:szCs w:val="22"/>
              </w:rPr>
              <w:t xml:space="preserve">Tichý chod, stojan z nerezavějícího materiálu součástí dodávky. </w:t>
            </w:r>
            <w:proofErr w:type="gramStart"/>
            <w:r w:rsidRPr="00354EEA">
              <w:rPr>
                <w:rFonts w:asciiTheme="minorHAnsi" w:hAnsiTheme="minorHAnsi" w:cstheme="minorHAnsi"/>
                <w:sz w:val="22"/>
                <w:szCs w:val="22"/>
              </w:rPr>
              <w:t>Desinfekce</w:t>
            </w:r>
            <w:proofErr w:type="gramEnd"/>
            <w:r w:rsidRPr="00354EEA">
              <w:rPr>
                <w:rFonts w:asciiTheme="minorHAnsi" w:hAnsiTheme="minorHAnsi" w:cstheme="minorHAnsi"/>
                <w:sz w:val="22"/>
                <w:szCs w:val="22"/>
              </w:rPr>
              <w:t xml:space="preserve"> prostoru germicidním zářičem (vestavěný UV zářič s časovačem) – programovatelné zapínání. </w:t>
            </w:r>
          </w:p>
          <w:p w14:paraId="068174EF" w14:textId="69D114C6" w:rsidR="0090460D" w:rsidRPr="00D22C5A" w:rsidRDefault="00354EEA" w:rsidP="00354EE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4E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Elektrické zásuvky v pracovním prostoru – min. dvě (možnost zvýšit počet zásuvek). Osvětlení vnitřního prostoru – bílé světlo.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963" w14:textId="573E2226" w:rsidR="0090460D" w:rsidRPr="00D22C5A" w:rsidRDefault="0090460D" w:rsidP="0090460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0CC2">
              <w:rPr>
                <w:rFonts w:ascii="Calibri" w:hAnsi="Calibri"/>
                <w:szCs w:val="22"/>
                <w:highlight w:val="yellow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CC2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370CC2">
              <w:rPr>
                <w:rFonts w:ascii="Calibri" w:hAnsi="Calibri"/>
                <w:szCs w:val="22"/>
                <w:highlight w:val="yellow"/>
              </w:rPr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370CC2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628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</w:tr>
      <w:tr w:rsidR="00D22C5A" w:rsidRPr="00D936B7" w14:paraId="16966091" w14:textId="77777777" w:rsidTr="00D22C5A"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B69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b/>
                <w:sz w:val="22"/>
                <w:szCs w:val="22"/>
              </w:rPr>
              <w:t>Servis a záruka:</w:t>
            </w:r>
          </w:p>
        </w:tc>
      </w:tr>
      <w:tr w:rsidR="0090460D" w:rsidRPr="00D936B7" w14:paraId="2879F6B2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0DA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Rychlost servisního zásahu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7B2E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Do týdne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890" w14:textId="308CCB60" w:rsidR="0090460D" w:rsidRPr="00D22C5A" w:rsidRDefault="0090460D" w:rsidP="0090460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310D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10D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02310D">
              <w:rPr>
                <w:rFonts w:ascii="Calibri" w:hAnsi="Calibri"/>
                <w:szCs w:val="22"/>
                <w:highlight w:val="yellow"/>
              </w:rPr>
            </w:r>
            <w:r w:rsidRPr="0002310D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1BC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</w:tr>
      <w:tr w:rsidR="0090460D" w:rsidRPr="00D936B7" w14:paraId="6E0D26FC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5A1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 xml:space="preserve">Záruka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FD2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Minimálně 2 roky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835" w14:textId="2462E516" w:rsidR="0090460D" w:rsidRPr="00D22C5A" w:rsidRDefault="0090460D" w:rsidP="0090460D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2310D">
              <w:rPr>
                <w:rFonts w:ascii="Calibri" w:hAnsi="Calibri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10D">
              <w:rPr>
                <w:rFonts w:ascii="Calibri" w:hAnsi="Calibri"/>
                <w:szCs w:val="22"/>
                <w:highlight w:val="yellow"/>
              </w:rPr>
              <w:instrText xml:space="preserve"> FORMTEXT </w:instrText>
            </w:r>
            <w:r w:rsidRPr="0002310D">
              <w:rPr>
                <w:rFonts w:ascii="Calibri" w:hAnsi="Calibri"/>
                <w:szCs w:val="22"/>
                <w:highlight w:val="yellow"/>
              </w:rPr>
            </w:r>
            <w:r w:rsidRPr="0002310D">
              <w:rPr>
                <w:rFonts w:ascii="Calibri" w:hAnsi="Calibri"/>
                <w:szCs w:val="22"/>
                <w:highlight w:val="yellow"/>
              </w:rPr>
              <w:fldChar w:fldCharType="separate"/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noProof/>
                <w:szCs w:val="22"/>
                <w:highlight w:val="yellow"/>
              </w:rPr>
              <w:t> </w:t>
            </w:r>
            <w:r w:rsidRPr="0002310D">
              <w:rPr>
                <w:rFonts w:ascii="Calibri" w:hAnsi="Calibri"/>
                <w:szCs w:val="22"/>
                <w:highlight w:val="yellow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695" w14:textId="77777777" w:rsidR="0090460D" w:rsidRPr="00D22C5A" w:rsidRDefault="0090460D" w:rsidP="009046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2C5A">
              <w:rPr>
                <w:rFonts w:asciiTheme="minorHAnsi" w:hAnsiTheme="minorHAnsi" w:cstheme="minorHAnsi"/>
                <w:sz w:val="22"/>
                <w:szCs w:val="22"/>
              </w:rPr>
              <w:t>Podmínka</w:t>
            </w:r>
          </w:p>
        </w:tc>
      </w:tr>
      <w:tr w:rsidR="00D22C5A" w:rsidRPr="00D936B7" w14:paraId="08FBCBF2" w14:textId="77777777" w:rsidTr="00D22C5A">
        <w:trPr>
          <w:gridAfter w:val="1"/>
          <w:wAfter w:w="4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EFB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95A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E69" w14:textId="77777777" w:rsidR="00D22C5A" w:rsidRPr="00D22C5A" w:rsidRDefault="00D22C5A" w:rsidP="00995941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0C8" w14:textId="77777777" w:rsidR="00D22C5A" w:rsidRPr="00D22C5A" w:rsidRDefault="00D22C5A" w:rsidP="0099594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854C2E" w14:textId="77777777" w:rsidR="001C10BC" w:rsidRPr="001C10BC" w:rsidRDefault="001C10BC" w:rsidP="001C10BC">
      <w:pPr>
        <w:keepNext/>
        <w:spacing w:before="240" w:after="60" w:line="276" w:lineRule="auto"/>
        <w:outlineLvl w:val="0"/>
        <w:rPr>
          <w:rFonts w:asciiTheme="minorHAnsi" w:hAnsiTheme="minorHAnsi" w:cstheme="minorHAnsi"/>
          <w:sz w:val="22"/>
        </w:rPr>
      </w:pPr>
    </w:p>
    <w:p w14:paraId="60C85F58" w14:textId="77777777" w:rsidR="001C10BC" w:rsidRPr="001C10BC" w:rsidRDefault="001C10BC" w:rsidP="001C10BC">
      <w:pPr>
        <w:rPr>
          <w:rFonts w:ascii="Arial Narrow" w:hAnsi="Arial Narrow" w:cs="Times New Roman"/>
          <w:sz w:val="22"/>
        </w:rPr>
      </w:pPr>
    </w:p>
    <w:p w14:paraId="4BF804CA" w14:textId="21B8CAE1" w:rsidR="00723424" w:rsidRDefault="00723424" w:rsidP="00D936B7">
      <w:pPr>
        <w:rPr>
          <w:rFonts w:ascii="Georgia" w:hAnsi="Georgia"/>
        </w:rPr>
      </w:pPr>
    </w:p>
    <w:p w14:paraId="159E5377" w14:textId="77777777" w:rsidR="00D936B7" w:rsidRPr="00D936B7" w:rsidRDefault="00D936B7" w:rsidP="00D936B7">
      <w:pPr>
        <w:rPr>
          <w:rFonts w:ascii="Georgia" w:hAnsi="Georgia"/>
        </w:rPr>
      </w:pPr>
    </w:p>
    <w:p w14:paraId="062F13A5" w14:textId="5242DD29" w:rsidR="005D7401" w:rsidRDefault="005D7401" w:rsidP="005D7401">
      <w:pPr>
        <w:rPr>
          <w:rFonts w:ascii="Georgia" w:hAnsi="Georgia"/>
        </w:rPr>
      </w:pPr>
    </w:p>
    <w:p w14:paraId="520F9E84" w14:textId="77777777" w:rsidR="005D7401" w:rsidRDefault="005D7401" w:rsidP="00D936B7">
      <w:pPr>
        <w:rPr>
          <w:rFonts w:ascii="Georgia" w:hAnsi="Georgia"/>
          <w:b/>
        </w:rPr>
      </w:pPr>
    </w:p>
    <w:p w14:paraId="2722396B" w14:textId="77777777" w:rsidR="005D7401" w:rsidRDefault="005D7401" w:rsidP="00D936B7">
      <w:pPr>
        <w:rPr>
          <w:rFonts w:ascii="Georgia" w:hAnsi="Georgia"/>
          <w:b/>
        </w:rPr>
      </w:pPr>
    </w:p>
    <w:p w14:paraId="75F4BF70" w14:textId="2008D4D8" w:rsidR="00D936B7" w:rsidRPr="00E451FD" w:rsidRDefault="00D936B7" w:rsidP="00D936B7">
      <w:pPr>
        <w:rPr>
          <w:rFonts w:ascii="Georgia" w:hAnsi="Georgia"/>
          <w:b/>
        </w:rPr>
      </w:pPr>
    </w:p>
    <w:p w14:paraId="34CC30CE" w14:textId="35D89DB2" w:rsidR="00E451FD" w:rsidRDefault="00E451FD" w:rsidP="00D936B7">
      <w:pPr>
        <w:rPr>
          <w:rFonts w:ascii="Georgia" w:hAnsi="Georgia"/>
        </w:rPr>
      </w:pPr>
    </w:p>
    <w:p w14:paraId="52267CEC" w14:textId="77777777" w:rsidR="000876A0" w:rsidRDefault="000876A0" w:rsidP="00D936B7">
      <w:pPr>
        <w:rPr>
          <w:rFonts w:ascii="Georgia" w:hAnsi="Georgia"/>
        </w:rPr>
      </w:pPr>
    </w:p>
    <w:p w14:paraId="6A2383D1" w14:textId="77777777" w:rsidR="00E451FD" w:rsidRPr="00D936B7" w:rsidRDefault="00E451FD" w:rsidP="00D936B7">
      <w:pPr>
        <w:rPr>
          <w:rFonts w:ascii="Georgia" w:hAnsi="Georgia"/>
        </w:rPr>
      </w:pPr>
    </w:p>
    <w:p w14:paraId="49612944" w14:textId="3498ACDB" w:rsidR="00D936B7" w:rsidRPr="000876A0" w:rsidRDefault="00D936B7" w:rsidP="00D936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Georgia" w:hAnsi="Georgia"/>
        </w:rPr>
      </w:pPr>
      <w:r w:rsidRPr="000876A0">
        <w:rPr>
          <w:rFonts w:ascii="Georgia" w:hAnsi="Georgia"/>
        </w:rPr>
        <w:t>V ……… dne …… 20</w:t>
      </w:r>
      <w:r w:rsidR="00354EEA">
        <w:rPr>
          <w:rFonts w:ascii="Georgia" w:hAnsi="Georgia"/>
        </w:rPr>
        <w:t>20</w:t>
      </w:r>
    </w:p>
    <w:p w14:paraId="2F790007" w14:textId="77777777" w:rsidR="00D936B7" w:rsidRPr="000876A0" w:rsidRDefault="00D936B7" w:rsidP="00D936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Georgia" w:hAnsi="Georgia"/>
        </w:rPr>
      </w:pPr>
    </w:p>
    <w:p w14:paraId="5002DCB7" w14:textId="77777777" w:rsidR="00D936B7" w:rsidRPr="000876A0" w:rsidRDefault="00D936B7" w:rsidP="00D936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Georgia" w:hAnsi="Georgia"/>
        </w:rPr>
      </w:pPr>
    </w:p>
    <w:p w14:paraId="18DA3FF6" w14:textId="77777777" w:rsidR="00D936B7" w:rsidRPr="000876A0" w:rsidRDefault="00D936B7" w:rsidP="00D936B7">
      <w:pPr>
        <w:pStyle w:val="Styl2"/>
        <w:numPr>
          <w:ilvl w:val="0"/>
          <w:numId w:val="0"/>
        </w:numPr>
        <w:spacing w:before="0" w:after="0" w:line="240" w:lineRule="auto"/>
        <w:rPr>
          <w:rFonts w:ascii="Georgia" w:hAnsi="Georgia"/>
        </w:rPr>
      </w:pPr>
    </w:p>
    <w:p w14:paraId="07D46DED" w14:textId="77777777" w:rsidR="00D936B7" w:rsidRPr="000876A0" w:rsidRDefault="00D936B7" w:rsidP="00D936B7">
      <w:pPr>
        <w:pStyle w:val="Styl2"/>
        <w:numPr>
          <w:ilvl w:val="0"/>
          <w:numId w:val="0"/>
        </w:numPr>
        <w:spacing w:before="0" w:after="0" w:line="240" w:lineRule="auto"/>
        <w:rPr>
          <w:rFonts w:ascii="Georgia" w:hAnsi="Georgia"/>
        </w:rPr>
      </w:pPr>
    </w:p>
    <w:p w14:paraId="7B89E15B" w14:textId="77777777" w:rsidR="00D936B7" w:rsidRPr="000876A0" w:rsidRDefault="00D936B7" w:rsidP="00D936B7">
      <w:pPr>
        <w:pStyle w:val="Styl2"/>
        <w:numPr>
          <w:ilvl w:val="0"/>
          <w:numId w:val="0"/>
        </w:numPr>
        <w:spacing w:before="0" w:after="0" w:line="240" w:lineRule="auto"/>
        <w:rPr>
          <w:rFonts w:ascii="Georgia" w:hAnsi="Georgia"/>
        </w:rPr>
      </w:pPr>
    </w:p>
    <w:p w14:paraId="73974C1A" w14:textId="77777777" w:rsidR="00D936B7" w:rsidRPr="000876A0" w:rsidRDefault="00D936B7" w:rsidP="00D936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Georgia" w:hAnsi="Georgia"/>
        </w:rPr>
      </w:pPr>
      <w:r w:rsidRPr="000876A0">
        <w:rPr>
          <w:rFonts w:ascii="Georgia" w:hAnsi="Georgia"/>
        </w:rPr>
        <w:t>……………….………………………………………………</w:t>
      </w:r>
    </w:p>
    <w:p w14:paraId="0E4F7EF4" w14:textId="77777777" w:rsidR="00D936B7" w:rsidRPr="00D936B7" w:rsidRDefault="00D936B7" w:rsidP="00D936B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Georgia" w:hAnsi="Georgia"/>
          <w:b/>
          <w:bCs/>
          <w:color w:val="808080"/>
          <w:spacing w:val="2"/>
        </w:rPr>
      </w:pPr>
      <w:r w:rsidRPr="000876A0">
        <w:rPr>
          <w:rFonts w:ascii="Georgia" w:hAnsi="Georgia"/>
        </w:rPr>
        <w:t>Jméno, funkce a podpis oprávněné osoby</w:t>
      </w:r>
    </w:p>
    <w:p w14:paraId="1AC613B6" w14:textId="77777777" w:rsidR="00EB2B8D" w:rsidRPr="00D936B7" w:rsidRDefault="00EB2B8D">
      <w:pPr>
        <w:rPr>
          <w:rFonts w:ascii="Georgia" w:hAnsi="Georgia"/>
        </w:rPr>
      </w:pPr>
    </w:p>
    <w:sectPr w:rsidR="00EB2B8D" w:rsidRPr="00D936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0CA5" w14:textId="77777777" w:rsidR="0051709A" w:rsidRDefault="0051709A" w:rsidP="001C10BC">
      <w:r>
        <w:separator/>
      </w:r>
    </w:p>
  </w:endnote>
  <w:endnote w:type="continuationSeparator" w:id="0">
    <w:p w14:paraId="0407B53E" w14:textId="77777777" w:rsidR="0051709A" w:rsidRDefault="0051709A" w:rsidP="001C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4360" w14:textId="77777777" w:rsidR="001C10BC" w:rsidRPr="00831486" w:rsidRDefault="001C10BC" w:rsidP="001C10BC">
    <w:pPr>
      <w:pStyle w:val="Zpat"/>
      <w:jc w:val="right"/>
      <w:rPr>
        <w:b/>
        <w:bCs/>
      </w:rPr>
    </w:pPr>
    <w:r w:rsidRPr="00831486">
      <w:rPr>
        <w:b/>
        <w:bCs/>
      </w:rPr>
      <w:t>Příloha č.4</w:t>
    </w:r>
  </w:p>
  <w:p w14:paraId="331F9286" w14:textId="77777777" w:rsidR="001C10BC" w:rsidRDefault="001C10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A252" w14:textId="77777777" w:rsidR="0051709A" w:rsidRDefault="0051709A" w:rsidP="001C10BC">
      <w:r>
        <w:separator/>
      </w:r>
    </w:p>
  </w:footnote>
  <w:footnote w:type="continuationSeparator" w:id="0">
    <w:p w14:paraId="2EF2F3E1" w14:textId="77777777" w:rsidR="0051709A" w:rsidRDefault="0051709A" w:rsidP="001C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9A"/>
    <w:rsid w:val="00005D08"/>
    <w:rsid w:val="000876A0"/>
    <w:rsid w:val="0011212B"/>
    <w:rsid w:val="00192688"/>
    <w:rsid w:val="001C10BC"/>
    <w:rsid w:val="001E3365"/>
    <w:rsid w:val="00252F98"/>
    <w:rsid w:val="0033068F"/>
    <w:rsid w:val="00354EEA"/>
    <w:rsid w:val="004105D0"/>
    <w:rsid w:val="0048289F"/>
    <w:rsid w:val="004F75AE"/>
    <w:rsid w:val="0051709A"/>
    <w:rsid w:val="005D7401"/>
    <w:rsid w:val="005E45DE"/>
    <w:rsid w:val="0060149A"/>
    <w:rsid w:val="006F05E0"/>
    <w:rsid w:val="00723424"/>
    <w:rsid w:val="00737060"/>
    <w:rsid w:val="008926A3"/>
    <w:rsid w:val="0090460D"/>
    <w:rsid w:val="00A04C38"/>
    <w:rsid w:val="00A46055"/>
    <w:rsid w:val="00AF1668"/>
    <w:rsid w:val="00B1618F"/>
    <w:rsid w:val="00B351A9"/>
    <w:rsid w:val="00B76873"/>
    <w:rsid w:val="00BA4A0F"/>
    <w:rsid w:val="00C243B7"/>
    <w:rsid w:val="00C9078F"/>
    <w:rsid w:val="00D22C5A"/>
    <w:rsid w:val="00D936B7"/>
    <w:rsid w:val="00E451FD"/>
    <w:rsid w:val="00E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E5727"/>
  <w15:chartTrackingRefBased/>
  <w15:docId w15:val="{E20349CB-6423-494A-8508-B004A93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6B7"/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D936B7"/>
    <w:pPr>
      <w:keepNext/>
      <w:keepLines/>
      <w:numPr>
        <w:numId w:val="1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36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36B7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customStyle="1" w:styleId="Styl2">
    <w:name w:val="Styl2"/>
    <w:basedOn w:val="Bezmezer"/>
    <w:link w:val="Styl2Char"/>
    <w:qFormat/>
    <w:rsid w:val="00D936B7"/>
    <w:pPr>
      <w:numPr>
        <w:ilvl w:val="2"/>
        <w:numId w:val="1"/>
      </w:numPr>
      <w:spacing w:before="120" w:after="120" w:line="276" w:lineRule="auto"/>
      <w:jc w:val="both"/>
    </w:pPr>
    <w:rPr>
      <w:rFonts w:eastAsia="Calibri"/>
      <w:sz w:val="22"/>
      <w:szCs w:val="22"/>
    </w:rPr>
  </w:style>
  <w:style w:type="character" w:customStyle="1" w:styleId="ObyejnChar">
    <w:name w:val="Obyčejný Char"/>
    <w:basedOn w:val="Standardnpsmoodstavce"/>
    <w:link w:val="Obyejn"/>
    <w:locked/>
    <w:rsid w:val="00D936B7"/>
    <w:rPr>
      <w:rFonts w:ascii="Arial" w:hAnsi="Arial" w:cs="Arial"/>
      <w:sz w:val="22"/>
    </w:rPr>
  </w:style>
  <w:style w:type="paragraph" w:customStyle="1" w:styleId="Obyejn">
    <w:name w:val="Obyčejný"/>
    <w:basedOn w:val="Normln"/>
    <w:link w:val="ObyejnChar"/>
    <w:qFormat/>
    <w:rsid w:val="00D936B7"/>
    <w:rPr>
      <w:rFonts w:eastAsiaTheme="minorHAnsi"/>
      <w:sz w:val="22"/>
      <w:szCs w:val="22"/>
      <w:lang w:eastAsia="en-US"/>
    </w:rPr>
  </w:style>
  <w:style w:type="character" w:customStyle="1" w:styleId="Styl2Char">
    <w:name w:val="Styl2 Char"/>
    <w:basedOn w:val="Standardnpsmoodstavce"/>
    <w:link w:val="Styl2"/>
    <w:locked/>
    <w:rsid w:val="00D936B7"/>
    <w:rPr>
      <w:rFonts w:ascii="Arial" w:eastAsia="Calibri" w:hAnsi="Arial" w:cs="Arial"/>
      <w:sz w:val="22"/>
      <w:lang w:eastAsia="cs-CZ"/>
    </w:rPr>
  </w:style>
  <w:style w:type="paragraph" w:customStyle="1" w:styleId="Psmena">
    <w:name w:val="Písmena"/>
    <w:qFormat/>
    <w:rsid w:val="00D936B7"/>
    <w:pPr>
      <w:numPr>
        <w:ilvl w:val="3"/>
        <w:numId w:val="1"/>
      </w:numPr>
      <w:spacing w:line="276" w:lineRule="auto"/>
      <w:jc w:val="both"/>
    </w:pPr>
    <w:rPr>
      <w:rFonts w:ascii="Arial" w:eastAsiaTheme="majorEastAsia" w:hAnsi="Arial" w:cs="Arial"/>
      <w:bCs/>
      <w:sz w:val="22"/>
    </w:rPr>
  </w:style>
  <w:style w:type="paragraph" w:customStyle="1" w:styleId="Nadpisrove2">
    <w:name w:val="Nadpis úroveň 2"/>
    <w:basedOn w:val="Nadpis2"/>
    <w:next w:val="Styl2"/>
    <w:qFormat/>
    <w:rsid w:val="00D936B7"/>
    <w:pPr>
      <w:keepLines w:val="0"/>
      <w:numPr>
        <w:ilvl w:val="1"/>
        <w:numId w:val="1"/>
      </w:numPr>
      <w:tabs>
        <w:tab w:val="num" w:pos="360"/>
      </w:tabs>
      <w:spacing w:before="240" w:after="120" w:line="276" w:lineRule="auto"/>
      <w:ind w:left="0" w:firstLine="0"/>
      <w:jc w:val="both"/>
    </w:pPr>
    <w:rPr>
      <w:rFonts w:ascii="Arial" w:eastAsia="Calibri" w:hAnsi="Arial" w:cs="Arial"/>
      <w:b/>
      <w:smallCaps/>
      <w:color w:val="000000" w:themeColor="text1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936B7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36B7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36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23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42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424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42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42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1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0BC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10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0BC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5207-145A-42E7-930A-6F5BB7ED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Lazor</dc:creator>
  <cp:keywords/>
  <dc:description/>
  <cp:lastModifiedBy>Marek Viskot</cp:lastModifiedBy>
  <cp:revision>4</cp:revision>
  <cp:lastPrinted>2019-01-08T10:19:00Z</cp:lastPrinted>
  <dcterms:created xsi:type="dcterms:W3CDTF">2019-08-11T19:08:00Z</dcterms:created>
  <dcterms:modified xsi:type="dcterms:W3CDTF">2020-08-13T18:12:00Z</dcterms:modified>
</cp:coreProperties>
</file>