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EE768" w14:textId="1443F04E" w:rsidR="00103BA2" w:rsidRPr="007F1E62" w:rsidRDefault="00103BA2" w:rsidP="007F1E62">
      <w:pPr>
        <w:tabs>
          <w:tab w:val="left" w:pos="5370"/>
        </w:tabs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32"/>
          <w:szCs w:val="22"/>
        </w:rPr>
      </w:pPr>
      <w:r w:rsidRPr="007F1E62">
        <w:rPr>
          <w:rFonts w:asciiTheme="minorHAnsi" w:eastAsia="Times New Roman" w:hAnsiTheme="minorHAnsi" w:cstheme="minorHAnsi"/>
          <w:b/>
          <w:sz w:val="32"/>
          <w:szCs w:val="22"/>
        </w:rPr>
        <w:t xml:space="preserve">Příloha č. </w:t>
      </w:r>
      <w:r w:rsidR="000A6592">
        <w:rPr>
          <w:rFonts w:asciiTheme="minorHAnsi" w:eastAsia="Times New Roman" w:hAnsiTheme="minorHAnsi" w:cstheme="minorHAnsi"/>
          <w:b/>
          <w:sz w:val="32"/>
          <w:szCs w:val="22"/>
        </w:rPr>
        <w:t>4</w:t>
      </w:r>
      <w:r w:rsidR="00533D9D" w:rsidRPr="007F1E62">
        <w:rPr>
          <w:rFonts w:asciiTheme="minorHAnsi" w:eastAsia="Times New Roman" w:hAnsiTheme="minorHAnsi" w:cstheme="minorHAnsi"/>
          <w:b/>
          <w:sz w:val="32"/>
          <w:szCs w:val="22"/>
        </w:rPr>
        <w:t xml:space="preserve"> </w:t>
      </w:r>
      <w:r w:rsidR="000A6592">
        <w:rPr>
          <w:rFonts w:asciiTheme="minorHAnsi" w:eastAsia="Times New Roman" w:hAnsiTheme="minorHAnsi" w:cstheme="minorHAnsi"/>
          <w:b/>
          <w:sz w:val="32"/>
          <w:szCs w:val="22"/>
        </w:rPr>
        <w:t>Zadávací dokumentace</w:t>
      </w:r>
    </w:p>
    <w:p w14:paraId="47A03694" w14:textId="0D44D4ED" w:rsidR="00D92521" w:rsidRPr="007F1E62" w:rsidRDefault="00533D9D" w:rsidP="007F1E62">
      <w:pPr>
        <w:tabs>
          <w:tab w:val="left" w:pos="5370"/>
        </w:tabs>
        <w:spacing w:after="24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b/>
          <w:sz w:val="22"/>
          <w:szCs w:val="22"/>
        </w:rPr>
        <w:t>Obchodní</w:t>
      </w:r>
      <w:r w:rsidR="00D92521" w:rsidRPr="007F1E62">
        <w:rPr>
          <w:rFonts w:asciiTheme="minorHAnsi" w:eastAsia="Times New Roman" w:hAnsiTheme="minorHAnsi" w:cstheme="minorHAnsi"/>
          <w:b/>
          <w:sz w:val="22"/>
          <w:szCs w:val="22"/>
        </w:rPr>
        <w:t xml:space="preserve"> podmínky</w:t>
      </w:r>
    </w:p>
    <w:p w14:paraId="685AB5A3" w14:textId="77777777" w:rsidR="00D92521" w:rsidRPr="007F1E62" w:rsidRDefault="00D92521" w:rsidP="007F1E62">
      <w:p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b/>
          <w:sz w:val="22"/>
          <w:szCs w:val="22"/>
        </w:rPr>
        <w:t>Obchodní podmínky</w:t>
      </w:r>
    </w:p>
    <w:p w14:paraId="7AF7214D" w14:textId="0A86FED2" w:rsidR="00D92521" w:rsidRPr="007F1E62" w:rsidRDefault="00D92521" w:rsidP="007F1E62">
      <w:pPr>
        <w:pStyle w:val="Odstavecseseznamem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F1E62">
        <w:rPr>
          <w:rFonts w:asciiTheme="minorHAnsi" w:eastAsia="Times New Roman" w:hAnsiTheme="minorHAnsi" w:cstheme="minorHAnsi"/>
        </w:rPr>
        <w:t xml:space="preserve">Právní vztahy mezi zadavatelem </w:t>
      </w:r>
      <w:r w:rsidR="00AA31C4" w:rsidRPr="007F1E62">
        <w:rPr>
          <w:rFonts w:asciiTheme="minorHAnsi" w:eastAsia="Times New Roman" w:hAnsiTheme="minorHAnsi" w:cstheme="minorHAnsi"/>
        </w:rPr>
        <w:t xml:space="preserve">(dále též jako „objednatel“) </w:t>
      </w:r>
      <w:r w:rsidRPr="007F1E62">
        <w:rPr>
          <w:rFonts w:asciiTheme="minorHAnsi" w:eastAsia="Times New Roman" w:hAnsiTheme="minorHAnsi" w:cstheme="minorHAnsi"/>
        </w:rPr>
        <w:t xml:space="preserve">a vybraným dodavatelem (dále též </w:t>
      </w:r>
      <w:r w:rsidR="00AA31C4" w:rsidRPr="007F1E62">
        <w:rPr>
          <w:rFonts w:asciiTheme="minorHAnsi" w:eastAsia="Times New Roman" w:hAnsiTheme="minorHAnsi" w:cstheme="minorHAnsi"/>
        </w:rPr>
        <w:t xml:space="preserve">jako </w:t>
      </w:r>
      <w:r w:rsidRPr="007F1E62">
        <w:rPr>
          <w:rFonts w:asciiTheme="minorHAnsi" w:eastAsia="Times New Roman" w:hAnsiTheme="minorHAnsi" w:cstheme="minorHAnsi"/>
        </w:rPr>
        <w:t>„poskytovatel“), založené příslušnou smlouvou, jejímž předmětem bude plnění této veřejné zakázky (poskytování služeb), se budou řídit zákonem č. 89/2012 Sb., občanský zákoník</w:t>
      </w:r>
      <w:r w:rsidRPr="007F1E62">
        <w:rPr>
          <w:rFonts w:asciiTheme="minorHAnsi" w:hAnsiTheme="minorHAnsi" w:cstheme="minorHAnsi"/>
        </w:rPr>
        <w:t>, ve znění pozdějších předpisů,</w:t>
      </w:r>
      <w:r w:rsidR="00921365" w:rsidRPr="007F1E62">
        <w:rPr>
          <w:rFonts w:asciiTheme="minorHAnsi" w:hAnsiTheme="minorHAnsi" w:cstheme="minorHAnsi"/>
        </w:rPr>
        <w:t xml:space="preserve"> zákonem č. 121/2000 Sb., o právu autor</w:t>
      </w:r>
      <w:r w:rsidR="007F1E62">
        <w:rPr>
          <w:rFonts w:asciiTheme="minorHAnsi" w:hAnsiTheme="minorHAnsi" w:cstheme="minorHAnsi"/>
        </w:rPr>
        <w:t>ském, o právech souvisejících s </w:t>
      </w:r>
      <w:r w:rsidR="00921365" w:rsidRPr="007F1E62">
        <w:rPr>
          <w:rFonts w:asciiTheme="minorHAnsi" w:hAnsiTheme="minorHAnsi" w:cstheme="minorHAnsi"/>
        </w:rPr>
        <w:t>právem autorským a o změně některých zákonů (autorský zákon), ve znění pozdějších předpisů</w:t>
      </w:r>
      <w:r w:rsidRPr="007F1E62">
        <w:rPr>
          <w:rFonts w:asciiTheme="minorHAnsi" w:hAnsiTheme="minorHAnsi" w:cstheme="minorHAnsi"/>
        </w:rPr>
        <w:t xml:space="preserve"> a zákonem </w:t>
      </w:r>
      <w:r w:rsidR="00AA31C4" w:rsidRPr="007F1E62">
        <w:rPr>
          <w:rFonts w:asciiTheme="minorHAnsi" w:hAnsiTheme="minorHAnsi" w:cstheme="minorHAnsi"/>
        </w:rPr>
        <w:t>č. 127/2005 Sb. o elektronických komunikacích a o změně některých souvisejících zákonů (zákon o elektronických komunikacích</w:t>
      </w:r>
      <w:r w:rsidR="0083355E">
        <w:rPr>
          <w:rFonts w:asciiTheme="minorHAnsi" w:hAnsiTheme="minorHAnsi" w:cstheme="minorHAnsi"/>
        </w:rPr>
        <w:t>)</w:t>
      </w:r>
      <w:r w:rsidR="00AA31C4" w:rsidRPr="007F1E62">
        <w:rPr>
          <w:rFonts w:asciiTheme="minorHAnsi" w:hAnsiTheme="minorHAnsi" w:cstheme="minorHAnsi"/>
        </w:rPr>
        <w:t>, ve znění pozdějších předpisů</w:t>
      </w:r>
      <w:r w:rsidR="00174899" w:rsidRPr="007F1E62">
        <w:rPr>
          <w:rFonts w:asciiTheme="minorHAnsi" w:hAnsiTheme="minorHAnsi" w:cstheme="minorHAnsi"/>
        </w:rPr>
        <w:t>, zejména §</w:t>
      </w:r>
      <w:r w:rsidR="00921365" w:rsidRPr="007F1E62">
        <w:rPr>
          <w:rFonts w:asciiTheme="minorHAnsi" w:hAnsiTheme="minorHAnsi" w:cstheme="minorHAnsi"/>
        </w:rPr>
        <w:t> </w:t>
      </w:r>
      <w:r w:rsidR="00174899" w:rsidRPr="007F1E62">
        <w:rPr>
          <w:rFonts w:asciiTheme="minorHAnsi" w:hAnsiTheme="minorHAnsi" w:cstheme="minorHAnsi"/>
        </w:rPr>
        <w:t>63 zákona o elektronických komunikacích</w:t>
      </w:r>
      <w:r w:rsidRPr="007F1E62">
        <w:rPr>
          <w:rFonts w:asciiTheme="minorHAnsi" w:hAnsiTheme="minorHAnsi" w:cstheme="minorHAnsi"/>
        </w:rPr>
        <w:t>.</w:t>
      </w:r>
    </w:p>
    <w:p w14:paraId="75C5872C" w14:textId="77777777" w:rsidR="00D92521" w:rsidRPr="007F1E62" w:rsidRDefault="00D92521" w:rsidP="007F1E62">
      <w:pPr>
        <w:tabs>
          <w:tab w:val="left" w:pos="5370"/>
        </w:tabs>
        <w:spacing w:before="240" w:after="12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Základní obsahové náležitosti návrhu smlouvy </w:t>
      </w:r>
    </w:p>
    <w:p w14:paraId="35DF9B18" w14:textId="77777777" w:rsidR="00D92521" w:rsidRPr="007F1E62" w:rsidRDefault="00D92521" w:rsidP="007F1E62">
      <w:p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Návrh smlouvy musí obsahovat zejména tyto základní náležitosti a skutečnosti: </w:t>
      </w:r>
    </w:p>
    <w:p w14:paraId="5E4DC826" w14:textId="4D4F1E86" w:rsidR="00D92521" w:rsidRPr="007F1E62" w:rsidRDefault="00D92521" w:rsidP="007F1E62">
      <w:pPr>
        <w:numPr>
          <w:ilvl w:val="0"/>
          <w:numId w:val="2"/>
        </w:numPr>
        <w:tabs>
          <w:tab w:val="num" w:pos="-567"/>
          <w:tab w:val="left" w:pos="5370"/>
        </w:tabs>
        <w:spacing w:after="120" w:line="276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identifikace smluvních stran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s uvedením osob oprávněných činit jménem nebo za smluvní strany právní úkony v plném rozsahu ve vztahu ke smlouvě, a to alespoň v následujícím rozsahu: úplný náz</w:t>
      </w:r>
      <w:r w:rsidR="002110EA" w:rsidRPr="007F1E62">
        <w:rPr>
          <w:rFonts w:asciiTheme="minorHAnsi" w:eastAsia="Times New Roman" w:hAnsiTheme="minorHAnsi" w:cstheme="minorHAnsi"/>
          <w:sz w:val="22"/>
          <w:szCs w:val="22"/>
        </w:rPr>
        <w:t>ev zadavatele a obchodní firmu poskytovatele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>; adresu sídla smluvních stran; identifikační číslo a daňové identifikační číslo, pokud byla smluvním stranám přidělena dle právních předpisů; bankovní spojení včetně čísel účtů smluvních stran, na které bude poskyt</w:t>
      </w:r>
      <w:r w:rsidR="007F1E62">
        <w:rPr>
          <w:rFonts w:asciiTheme="minorHAnsi" w:eastAsia="Times New Roman" w:hAnsiTheme="minorHAnsi" w:cstheme="minorHAnsi"/>
          <w:sz w:val="22"/>
          <w:szCs w:val="22"/>
        </w:rPr>
        <w:t xml:space="preserve">ováno peněžní plnění v souladu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s podmínkami smlouvy; údaje o zápisu </w:t>
      </w:r>
      <w:r w:rsidR="002110EA" w:rsidRPr="007F1E62">
        <w:rPr>
          <w:rFonts w:asciiTheme="minorHAnsi" w:eastAsia="Times New Roman" w:hAnsiTheme="minorHAnsi" w:cstheme="minorHAnsi"/>
          <w:sz w:val="22"/>
          <w:szCs w:val="22"/>
        </w:rPr>
        <w:t>poskytovatele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v obchodním či jiném obdobném rejstříku; označení smluvních stran použité pro účely smlouvy, identifikační údaje kontaktní osoby. </w:t>
      </w:r>
    </w:p>
    <w:p w14:paraId="6904513D" w14:textId="77777777" w:rsidR="00867821" w:rsidRPr="007F1E62" w:rsidRDefault="00867821" w:rsidP="007F1E62">
      <w:pPr>
        <w:tabs>
          <w:tab w:val="left" w:pos="5370"/>
        </w:tabs>
        <w:spacing w:after="120" w:line="276" w:lineRule="auto"/>
        <w:ind w:left="426"/>
        <w:rPr>
          <w:rFonts w:asciiTheme="minorHAnsi" w:eastAsia="Times New Roman" w:hAnsiTheme="minorHAnsi" w:cstheme="minorHAnsi"/>
          <w:sz w:val="22"/>
          <w:szCs w:val="22"/>
        </w:rPr>
      </w:pPr>
    </w:p>
    <w:p w14:paraId="65AD7F87" w14:textId="77777777" w:rsidR="00867821" w:rsidRPr="007F1E62" w:rsidRDefault="00867821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Identifikační údaje</w:t>
      </w:r>
      <w:r w:rsidR="00AA31C4"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zadavatele: </w:t>
      </w:r>
    </w:p>
    <w:p w14:paraId="4C024D3C" w14:textId="77777777" w:rsidR="00867821" w:rsidRPr="007F1E62" w:rsidRDefault="00867821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0F59E5EB" w14:textId="7A373CDD" w:rsidR="00867821" w:rsidRPr="007F1E62" w:rsidRDefault="007F1E62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Výzkumný ústav lesního hospodářství a myslivosti,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sz w:val="22"/>
          <w:szCs w:val="22"/>
        </w:rPr>
        <w:t>v.v.</w:t>
      </w:r>
      <w:proofErr w:type="gramEnd"/>
      <w:r>
        <w:rPr>
          <w:rFonts w:asciiTheme="minorHAnsi" w:eastAsia="Times New Roman" w:hAnsiTheme="minorHAnsi" w:cstheme="minorHAnsi"/>
          <w:b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6D62A29" w14:textId="673999B6" w:rsidR="00867821" w:rsidRPr="007F1E62" w:rsidRDefault="007F1E62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sídlo: Strnady 136,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252 02  Jíloviště</w:t>
      </w:r>
      <w:proofErr w:type="gramEnd"/>
    </w:p>
    <w:p w14:paraId="611C2CCD" w14:textId="70C90E26" w:rsidR="00867821" w:rsidRPr="007F1E62" w:rsidRDefault="007F1E62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zastoupená: doc. Ing. Vítem Šrámkem, Ph.D., </w:t>
      </w:r>
      <w:r w:rsidR="00867821" w:rsidRPr="007F1E62">
        <w:rPr>
          <w:rFonts w:asciiTheme="minorHAnsi" w:eastAsia="Times New Roman" w:hAnsiTheme="minorHAnsi" w:cstheme="minorHAnsi"/>
          <w:sz w:val="22"/>
          <w:szCs w:val="22"/>
        </w:rPr>
        <w:t>ředitelem</w:t>
      </w:r>
    </w:p>
    <w:p w14:paraId="10EFA05F" w14:textId="568CC047" w:rsidR="00867821" w:rsidRPr="007F1E62" w:rsidRDefault="007F1E62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IČO: 00020702</w:t>
      </w:r>
    </w:p>
    <w:p w14:paraId="53E82591" w14:textId="0890E4C2" w:rsidR="00867821" w:rsidRPr="007F1E62" w:rsidRDefault="00867821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>DIČ: CZ</w:t>
      </w:r>
      <w:r w:rsidR="007F1E62">
        <w:rPr>
          <w:rFonts w:asciiTheme="minorHAnsi" w:eastAsia="Times New Roman" w:hAnsiTheme="minorHAnsi" w:cstheme="minorHAnsi"/>
          <w:sz w:val="22"/>
          <w:szCs w:val="22"/>
        </w:rPr>
        <w:t>00020702</w:t>
      </w:r>
    </w:p>
    <w:p w14:paraId="78D10407" w14:textId="22A36028" w:rsidR="00867821" w:rsidRPr="007F1E62" w:rsidRDefault="00867821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>zapsaná v</w:t>
      </w:r>
      <w:r w:rsidR="007F1E62">
        <w:rPr>
          <w:rFonts w:asciiTheme="minorHAnsi" w:eastAsia="Times New Roman" w:hAnsiTheme="minorHAnsi" w:cstheme="minorHAnsi"/>
          <w:sz w:val="22"/>
          <w:szCs w:val="22"/>
        </w:rPr>
        <w:t xml:space="preserve"> rejstříku </w:t>
      </w:r>
      <w:proofErr w:type="spellStart"/>
      <w:proofErr w:type="gramStart"/>
      <w:r w:rsidR="007F1E62">
        <w:rPr>
          <w:rFonts w:asciiTheme="minorHAnsi" w:eastAsia="Times New Roman" w:hAnsiTheme="minorHAnsi" w:cstheme="minorHAnsi"/>
          <w:sz w:val="22"/>
          <w:szCs w:val="22"/>
        </w:rPr>
        <w:t>v.v.</w:t>
      </w:r>
      <w:proofErr w:type="gramEnd"/>
      <w:r w:rsidR="007F1E62">
        <w:rPr>
          <w:rFonts w:asciiTheme="minorHAnsi" w:eastAsia="Times New Roman" w:hAnsiTheme="minorHAnsi" w:cstheme="minorHAnsi"/>
          <w:sz w:val="22"/>
          <w:szCs w:val="22"/>
        </w:rPr>
        <w:t>i</w:t>
      </w:r>
      <w:proofErr w:type="spellEnd"/>
      <w:r w:rsidR="007F1E62">
        <w:rPr>
          <w:rFonts w:asciiTheme="minorHAnsi" w:eastAsia="Times New Roman" w:hAnsiTheme="minorHAnsi" w:cstheme="minorHAnsi"/>
          <w:sz w:val="22"/>
          <w:szCs w:val="22"/>
        </w:rPr>
        <w:t>., vedeném MŠMT, spisová značka není vedena</w:t>
      </w:r>
    </w:p>
    <w:p w14:paraId="05946DF1" w14:textId="24214D6C" w:rsidR="00AA31C4" w:rsidRPr="007F1E62" w:rsidRDefault="00867821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číslo účtu: </w:t>
      </w:r>
      <w:r w:rsidR="007F1E62">
        <w:rPr>
          <w:rFonts w:asciiTheme="minorHAnsi" w:eastAsia="Times New Roman" w:hAnsiTheme="minorHAnsi" w:cstheme="minorHAnsi"/>
          <w:sz w:val="22"/>
          <w:szCs w:val="22"/>
        </w:rPr>
        <w:t>27938111/0100</w:t>
      </w:r>
    </w:p>
    <w:p w14:paraId="2A4A7185" w14:textId="77777777" w:rsidR="00F47FE6" w:rsidRPr="007F1E62" w:rsidRDefault="00F47FE6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</w:rPr>
      </w:pPr>
    </w:p>
    <w:p w14:paraId="4E0B1A03" w14:textId="2C74AA6E" w:rsidR="00EE7659" w:rsidRPr="007F1E62" w:rsidRDefault="00F47FE6" w:rsidP="007F1E62">
      <w:pPr>
        <w:tabs>
          <w:tab w:val="left" w:pos="5370"/>
        </w:tabs>
        <w:spacing w:line="276" w:lineRule="auto"/>
        <w:ind w:left="425"/>
        <w:rPr>
          <w:rFonts w:asciiTheme="minorHAnsi" w:hAnsiTheme="minorHAnsi" w:cstheme="minorHAnsi"/>
          <w:noProof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Kontaktní osob</w:t>
      </w:r>
      <w:r w:rsidR="00F3796B"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a zadavatele</w:t>
      </w:r>
      <w:r w:rsidR="00EE7659" w:rsidRPr="007F1E62">
        <w:rPr>
          <w:rFonts w:asciiTheme="minorHAnsi" w:hAnsiTheme="minorHAnsi" w:cstheme="minorHAnsi"/>
          <w:noProof/>
          <w:sz w:val="22"/>
          <w:szCs w:val="22"/>
          <w:u w:val="single"/>
        </w:rPr>
        <w:t>:</w:t>
      </w:r>
      <w:r w:rsidR="00F3796B" w:rsidRPr="007F1E6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E7659" w:rsidRPr="007F1E62">
        <w:rPr>
          <w:rFonts w:asciiTheme="minorHAnsi" w:hAnsiTheme="minorHAnsi" w:cstheme="minorHAnsi"/>
          <w:b/>
          <w:noProof/>
          <w:sz w:val="22"/>
          <w:szCs w:val="22"/>
        </w:rPr>
        <w:t xml:space="preserve">Ing. </w:t>
      </w:r>
      <w:r w:rsidR="007F1E62">
        <w:rPr>
          <w:rFonts w:asciiTheme="minorHAnsi" w:hAnsiTheme="minorHAnsi" w:cstheme="minorHAnsi"/>
          <w:b/>
          <w:noProof/>
          <w:sz w:val="22"/>
          <w:szCs w:val="22"/>
        </w:rPr>
        <w:t>Jana Danysová, Petr Vít</w:t>
      </w:r>
      <w:r w:rsidR="00EE7659" w:rsidRPr="007F1E6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1AF1D051" w14:textId="77777777" w:rsidR="00867821" w:rsidRPr="007F1E62" w:rsidRDefault="00867821" w:rsidP="007F1E62">
      <w:pPr>
        <w:tabs>
          <w:tab w:val="left" w:pos="5370"/>
        </w:tabs>
        <w:spacing w:line="276" w:lineRule="auto"/>
        <w:ind w:left="425"/>
        <w:rPr>
          <w:rFonts w:asciiTheme="minorHAnsi" w:eastAsia="Times New Roman" w:hAnsiTheme="minorHAnsi" w:cstheme="minorHAnsi"/>
          <w:sz w:val="22"/>
          <w:szCs w:val="22"/>
        </w:rPr>
      </w:pPr>
    </w:p>
    <w:p w14:paraId="49D16421" w14:textId="77777777" w:rsidR="00D92521" w:rsidRPr="007F1E62" w:rsidRDefault="00D92521" w:rsidP="007F1E62">
      <w:pPr>
        <w:numPr>
          <w:ilvl w:val="0"/>
          <w:numId w:val="2"/>
        </w:numPr>
        <w:tabs>
          <w:tab w:val="num" w:pos="540"/>
          <w:tab w:val="left" w:pos="5370"/>
        </w:tabs>
        <w:spacing w:after="120" w:line="276" w:lineRule="auto"/>
        <w:ind w:hanging="720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úvodní ustanovení, které bude obsahovat zejména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00FB2261" w14:textId="5309DFCE" w:rsidR="002110EA" w:rsidRPr="007F1E62" w:rsidRDefault="002110EA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popis rozhodných okolností, jež vedou smluvní strany k uzavření smlouvy, zejména skutečnost, že je smlouva uzavírána na základě výsledku veřejné zakázky </w:t>
      </w:r>
      <w:r w:rsidR="007F1E62">
        <w:rPr>
          <w:rFonts w:asciiTheme="minorHAnsi" w:eastAsia="Times New Roman" w:hAnsiTheme="minorHAnsi" w:cstheme="minorHAnsi"/>
          <w:sz w:val="22"/>
          <w:szCs w:val="22"/>
        </w:rPr>
        <w:t>malého rozsahu na služby</w:t>
      </w:r>
      <w:r w:rsidR="00DF6197" w:rsidRPr="007F1E62">
        <w:rPr>
          <w:rFonts w:asciiTheme="minorHAnsi" w:eastAsia="Times New Roman" w:hAnsiTheme="minorHAnsi" w:cstheme="minorHAnsi"/>
          <w:sz w:val="22"/>
          <w:szCs w:val="22"/>
        </w:rPr>
        <w:t xml:space="preserve"> zadávané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>(dále jen „</w:t>
      </w:r>
      <w:r w:rsidR="00DF6197" w:rsidRPr="007F1E62">
        <w:rPr>
          <w:rFonts w:asciiTheme="minorHAnsi" w:eastAsia="Times New Roman" w:hAnsiTheme="minorHAnsi" w:cstheme="minorHAnsi"/>
          <w:sz w:val="22"/>
          <w:szCs w:val="22"/>
        </w:rPr>
        <w:t>VZ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“) s názvem </w:t>
      </w:r>
      <w:r w:rsidR="00D40C36" w:rsidRPr="007F1E62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7F1E62" w:rsidRPr="007F1E62">
        <w:rPr>
          <w:rFonts w:asciiTheme="minorHAnsi" w:hAnsiTheme="minorHAnsi" w:cstheme="minorHAnsi"/>
          <w:b/>
          <w:bCs/>
          <w:sz w:val="22"/>
          <w:szCs w:val="22"/>
        </w:rPr>
        <w:t>Poskytování internetových a fixních hlasových služeb</w:t>
      </w:r>
      <w:r w:rsidR="00D40C36" w:rsidRPr="007F1E62">
        <w:rPr>
          <w:rFonts w:asciiTheme="minorHAnsi" w:eastAsia="Times New Roman" w:hAnsiTheme="minorHAnsi" w:cstheme="minorHAnsi"/>
          <w:sz w:val="22"/>
          <w:szCs w:val="22"/>
        </w:rPr>
        <w:t xml:space="preserve">“,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ve kterém byla nabídka poskytovatele vybrána jako nejvhodnější; </w:t>
      </w:r>
    </w:p>
    <w:p w14:paraId="3D62954A" w14:textId="77777777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prohlášení dodavatele, že se detailně seznámil s rozsahem a povahou služeb, že jsou mu známy veškeré technické, kvalitativní a jiné podmínky nezbytné k jejich poskytování a že disponuje takovými kapacitami a odbornými znalostmi, které jsou nezbytné k jejich poskytování služeb v souladu se zadávací dokumentací. </w:t>
      </w:r>
    </w:p>
    <w:p w14:paraId="0A061E9D" w14:textId="591FB36F" w:rsidR="00D92521" w:rsidRPr="007F1E62" w:rsidRDefault="00D92521" w:rsidP="007F1E62">
      <w:pPr>
        <w:numPr>
          <w:ilvl w:val="0"/>
          <w:numId w:val="2"/>
        </w:numPr>
        <w:tabs>
          <w:tab w:val="num" w:pos="540"/>
          <w:tab w:val="left" w:pos="5370"/>
        </w:tabs>
        <w:spacing w:after="120" w:line="276" w:lineRule="auto"/>
        <w:ind w:hanging="720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specifikace předmětu smlouvy: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specifikace předmětu smlouvy musí být uvedena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br/>
        <w:t xml:space="preserve">v souladu </w:t>
      </w:r>
      <w:r w:rsidR="002110EA" w:rsidRPr="007F1E62">
        <w:rPr>
          <w:rFonts w:asciiTheme="minorHAnsi" w:eastAsia="Times New Roman" w:hAnsiTheme="minorHAnsi" w:cstheme="minorHAnsi"/>
          <w:sz w:val="22"/>
          <w:szCs w:val="22"/>
        </w:rPr>
        <w:t>výzvou k podání nabídek a jejími přílohami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, zejména </w:t>
      </w:r>
      <w:r w:rsidR="00867821" w:rsidRPr="007F1E62">
        <w:rPr>
          <w:rFonts w:asciiTheme="minorHAnsi" w:eastAsia="Times New Roman" w:hAnsiTheme="minorHAnsi" w:cstheme="minorHAnsi"/>
          <w:sz w:val="22"/>
          <w:szCs w:val="22"/>
        </w:rPr>
        <w:t xml:space="preserve">technickou specifikací uvedenou v </w:t>
      </w:r>
      <w:r w:rsidR="00867821" w:rsidRPr="005A37BB">
        <w:rPr>
          <w:rFonts w:asciiTheme="minorHAnsi" w:eastAsia="Times New Roman" w:hAnsiTheme="minorHAnsi" w:cstheme="minorHAnsi"/>
          <w:sz w:val="22"/>
          <w:szCs w:val="22"/>
        </w:rPr>
        <w:t>příloze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 xml:space="preserve"> č. </w:t>
      </w:r>
      <w:r w:rsidR="005A37BB" w:rsidRPr="005A37BB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a musí zejména obsahovat závazek dodavatele poskytovat řádně a včas služby, které jsou předmětem smlouvy (odpovídající předmětu </w:t>
      </w:r>
      <w:r w:rsidR="002110EA" w:rsidRPr="007F1E62">
        <w:rPr>
          <w:rFonts w:asciiTheme="minorHAnsi" w:eastAsia="Times New Roman" w:hAnsiTheme="minorHAnsi" w:cstheme="minorHAnsi"/>
          <w:sz w:val="22"/>
          <w:szCs w:val="22"/>
        </w:rPr>
        <w:t>VZ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). Služba, k jejímuž poskytování se dodavatel smlouvou zaváže, musí být náležitě charakterizována, a to tak, aby jednoznačně vyplývalo, že plnění služby odpovídá zcela předmětu plnění této </w:t>
      </w:r>
      <w:r w:rsidR="002110EA" w:rsidRPr="007F1E62">
        <w:rPr>
          <w:rFonts w:asciiTheme="minorHAnsi" w:eastAsia="Times New Roman" w:hAnsiTheme="minorHAnsi" w:cstheme="minorHAnsi"/>
          <w:sz w:val="22"/>
          <w:szCs w:val="22"/>
        </w:rPr>
        <w:t>VZ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7D12D1A" w14:textId="432FA866" w:rsidR="007D1925" w:rsidRPr="00A57A57" w:rsidRDefault="007D1925" w:rsidP="007F1E62">
      <w:pPr>
        <w:numPr>
          <w:ilvl w:val="0"/>
          <w:numId w:val="2"/>
        </w:numPr>
        <w:tabs>
          <w:tab w:val="num" w:pos="540"/>
          <w:tab w:val="left" w:pos="5370"/>
        </w:tabs>
        <w:spacing w:after="120" w:line="276" w:lineRule="auto"/>
        <w:ind w:hanging="644"/>
        <w:rPr>
          <w:rFonts w:asciiTheme="minorHAnsi" w:eastAsia="Times New Roman" w:hAnsiTheme="minorHAnsi" w:cstheme="minorHAnsi"/>
          <w:sz w:val="22"/>
          <w:szCs w:val="22"/>
          <w:highlight w:val="yellow"/>
          <w:u w:val="single"/>
        </w:rPr>
      </w:pPr>
      <w:r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termíny plnění smlouvy:</w:t>
      </w:r>
      <w:r w:rsidR="003462E9"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  <w:r w:rsidR="00DF6197" w:rsidRPr="007F1E62">
        <w:rPr>
          <w:rFonts w:asciiTheme="minorHAnsi" w:eastAsia="Times New Roman" w:hAnsiTheme="minorHAnsi" w:cstheme="minorHAnsi"/>
          <w:sz w:val="22"/>
          <w:szCs w:val="22"/>
        </w:rPr>
        <w:t xml:space="preserve">Služby budou poskytovány po </w:t>
      </w:r>
      <w:r w:rsidR="003462E9" w:rsidRPr="007F1E62">
        <w:rPr>
          <w:rFonts w:asciiTheme="minorHAnsi" w:eastAsia="Times New Roman" w:hAnsiTheme="minorHAnsi" w:cstheme="minorHAnsi"/>
          <w:sz w:val="22"/>
          <w:szCs w:val="22"/>
        </w:rPr>
        <w:t xml:space="preserve">dobu určitou, </w:t>
      </w:r>
      <w:r w:rsidR="003462E9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tj. </w:t>
      </w:r>
      <w:r w:rsidR="002D261C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>v období</w:t>
      </w:r>
      <w:r w:rsidR="007F1E62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od 1</w:t>
      </w:r>
      <w:r w:rsidR="00DF6197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. </w:t>
      </w:r>
      <w:r w:rsidR="00A57A57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>6</w:t>
      </w:r>
      <w:r w:rsidR="007F1E62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>. 2021</w:t>
      </w:r>
      <w:r w:rsidR="00DF6197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do </w:t>
      </w:r>
      <w:r w:rsidR="007F1E62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>3</w:t>
      </w:r>
      <w:r w:rsidR="00A57A57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>1</w:t>
      </w:r>
      <w:r w:rsidR="007F1E62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. </w:t>
      </w:r>
      <w:r w:rsidR="00A57A57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>5</w:t>
      </w:r>
      <w:r w:rsidR="007F1E62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>. 2025</w:t>
      </w:r>
      <w:r w:rsidR="003462E9" w:rsidRPr="00A57A57">
        <w:rPr>
          <w:rFonts w:asciiTheme="minorHAnsi" w:eastAsia="Times New Roman" w:hAnsiTheme="minorHAnsi" w:cstheme="minorHAnsi"/>
          <w:sz w:val="22"/>
          <w:szCs w:val="22"/>
          <w:highlight w:val="yellow"/>
        </w:rPr>
        <w:t>.</w:t>
      </w:r>
    </w:p>
    <w:p w14:paraId="1EBBFD8A" w14:textId="695F1F6E" w:rsidR="00F47FE6" w:rsidRPr="007F1E62" w:rsidRDefault="003462E9" w:rsidP="007F1E62">
      <w:pPr>
        <w:pStyle w:val="Odstavecseseznamem"/>
        <w:numPr>
          <w:ilvl w:val="0"/>
          <w:numId w:val="2"/>
        </w:numPr>
        <w:ind w:hanging="644"/>
        <w:jc w:val="both"/>
        <w:rPr>
          <w:rFonts w:asciiTheme="minorHAnsi" w:eastAsia="Times New Roman" w:hAnsiTheme="minorHAnsi" w:cstheme="minorHAnsi"/>
          <w:lang w:eastAsia="cs-CZ"/>
        </w:rPr>
      </w:pPr>
      <w:r w:rsidRPr="007F1E62">
        <w:rPr>
          <w:rFonts w:asciiTheme="minorHAnsi" w:eastAsia="Times New Roman" w:hAnsiTheme="minorHAnsi" w:cstheme="minorHAnsi"/>
          <w:lang w:eastAsia="cs-CZ"/>
        </w:rPr>
        <w:t>t</w:t>
      </w:r>
      <w:r w:rsidR="00F47FE6" w:rsidRPr="007F1E62">
        <w:rPr>
          <w:rFonts w:asciiTheme="minorHAnsi" w:eastAsia="Times New Roman" w:hAnsiTheme="minorHAnsi" w:cstheme="minorHAnsi"/>
          <w:lang w:eastAsia="cs-CZ"/>
        </w:rPr>
        <w:t xml:space="preserve">ermín plnění, </w:t>
      </w:r>
      <w:proofErr w:type="gramStart"/>
      <w:r w:rsidR="00F47FE6" w:rsidRPr="007F1E62">
        <w:rPr>
          <w:rFonts w:asciiTheme="minorHAnsi" w:eastAsia="Times New Roman" w:hAnsiTheme="minorHAnsi" w:cstheme="minorHAnsi"/>
          <w:lang w:eastAsia="cs-CZ"/>
        </w:rPr>
        <w:t>tzn.</w:t>
      </w:r>
      <w:proofErr w:type="gramEnd"/>
      <w:r w:rsidR="00F47FE6" w:rsidRPr="007F1E62">
        <w:rPr>
          <w:rFonts w:asciiTheme="minorHAnsi" w:eastAsia="Times New Roman" w:hAnsiTheme="minorHAnsi" w:cstheme="minorHAnsi"/>
          <w:lang w:eastAsia="cs-CZ"/>
        </w:rPr>
        <w:t xml:space="preserve"> připravenost všech služeb</w:t>
      </w:r>
      <w:r w:rsidR="00F3796B" w:rsidRPr="007F1E62">
        <w:rPr>
          <w:rFonts w:asciiTheme="minorHAnsi" w:eastAsia="Times New Roman" w:hAnsiTheme="minorHAnsi" w:cstheme="minorHAnsi"/>
          <w:lang w:eastAsia="cs-CZ"/>
        </w:rPr>
        <w:t xml:space="preserve"> včetně jejich zřízení</w:t>
      </w:r>
      <w:r w:rsidR="00F47FE6" w:rsidRPr="007F1E62">
        <w:rPr>
          <w:rFonts w:asciiTheme="minorHAnsi" w:eastAsia="Times New Roman" w:hAnsiTheme="minorHAnsi" w:cstheme="minorHAnsi"/>
          <w:lang w:eastAsia="cs-CZ"/>
        </w:rPr>
        <w:t xml:space="preserve"> </w:t>
      </w:r>
      <w:proofErr w:type="gramStart"/>
      <w:r w:rsidR="00F47FE6" w:rsidRPr="007F1E62">
        <w:rPr>
          <w:rFonts w:asciiTheme="minorHAnsi" w:eastAsia="Times New Roman" w:hAnsiTheme="minorHAnsi" w:cstheme="minorHAnsi"/>
          <w:lang w:eastAsia="cs-CZ"/>
        </w:rPr>
        <w:t>bude</w:t>
      </w:r>
      <w:proofErr w:type="gramEnd"/>
      <w:r w:rsidR="00F47FE6" w:rsidRPr="007F1E62">
        <w:rPr>
          <w:rFonts w:asciiTheme="minorHAnsi" w:eastAsia="Times New Roman" w:hAnsiTheme="minorHAnsi" w:cstheme="minorHAnsi"/>
          <w:lang w:eastAsia="cs-CZ"/>
        </w:rPr>
        <w:t xml:space="preserve"> ze strany dodavatele </w:t>
      </w:r>
      <w:r w:rsidR="00F3796B" w:rsidRPr="007F1E62">
        <w:rPr>
          <w:rFonts w:asciiTheme="minorHAnsi" w:eastAsia="Times New Roman" w:hAnsiTheme="minorHAnsi" w:cstheme="minorHAnsi"/>
          <w:lang w:eastAsia="cs-CZ"/>
        </w:rPr>
        <w:t>zajištěn</w:t>
      </w:r>
      <w:r w:rsidR="009B6B87" w:rsidRPr="007F1E62">
        <w:rPr>
          <w:rFonts w:asciiTheme="minorHAnsi" w:eastAsia="Times New Roman" w:hAnsiTheme="minorHAnsi" w:cstheme="minorHAnsi"/>
          <w:lang w:eastAsia="cs-CZ"/>
        </w:rPr>
        <w:t>a</w:t>
      </w:r>
      <w:r w:rsidR="00F3796B" w:rsidRPr="007F1E62">
        <w:rPr>
          <w:rFonts w:asciiTheme="minorHAnsi" w:eastAsia="Times New Roman" w:hAnsiTheme="minorHAnsi" w:cstheme="minorHAnsi"/>
          <w:lang w:eastAsia="cs-CZ"/>
        </w:rPr>
        <w:t xml:space="preserve"> </w:t>
      </w:r>
      <w:r w:rsidR="00F47FE6" w:rsidRPr="007F1E62">
        <w:rPr>
          <w:rFonts w:asciiTheme="minorHAnsi" w:eastAsia="Times New Roman" w:hAnsiTheme="minorHAnsi" w:cstheme="minorHAnsi"/>
          <w:lang w:eastAsia="cs-CZ"/>
        </w:rPr>
        <w:t xml:space="preserve">do </w:t>
      </w:r>
      <w:r w:rsidR="00361A6F" w:rsidRPr="00A57A57">
        <w:rPr>
          <w:rFonts w:asciiTheme="minorHAnsi" w:eastAsia="Times New Roman" w:hAnsiTheme="minorHAnsi" w:cstheme="minorHAnsi"/>
          <w:highlight w:val="yellow"/>
          <w:lang w:eastAsia="cs-CZ"/>
        </w:rPr>
        <w:t>20</w:t>
      </w:r>
      <w:r w:rsidR="005A37BB" w:rsidRPr="00A57A57">
        <w:rPr>
          <w:rFonts w:asciiTheme="minorHAnsi" w:eastAsia="Times New Roman" w:hAnsiTheme="minorHAnsi" w:cstheme="minorHAnsi"/>
          <w:highlight w:val="yellow"/>
          <w:lang w:eastAsia="cs-CZ"/>
        </w:rPr>
        <w:t xml:space="preserve">. </w:t>
      </w:r>
      <w:r w:rsidR="00A57A57" w:rsidRPr="00A57A57">
        <w:rPr>
          <w:rFonts w:asciiTheme="minorHAnsi" w:eastAsia="Times New Roman" w:hAnsiTheme="minorHAnsi" w:cstheme="minorHAnsi"/>
          <w:highlight w:val="yellow"/>
          <w:lang w:eastAsia="cs-CZ"/>
        </w:rPr>
        <w:t>5</w:t>
      </w:r>
      <w:r w:rsidR="005A37BB" w:rsidRPr="00A57A57">
        <w:rPr>
          <w:rFonts w:asciiTheme="minorHAnsi" w:eastAsia="Times New Roman" w:hAnsiTheme="minorHAnsi" w:cstheme="minorHAnsi"/>
          <w:highlight w:val="yellow"/>
          <w:lang w:eastAsia="cs-CZ"/>
        </w:rPr>
        <w:t>. 2021.</w:t>
      </w:r>
      <w:r w:rsidR="00F47FE6" w:rsidRPr="007F1E62">
        <w:rPr>
          <w:rFonts w:asciiTheme="minorHAnsi" w:eastAsia="Times New Roman" w:hAnsiTheme="minorHAnsi" w:cstheme="minorHAnsi"/>
          <w:lang w:eastAsia="cs-CZ"/>
        </w:rPr>
        <w:t xml:space="preserve"> Konkrétní termín zprovoznění určí zadavatel na základě svých potřeb a ukončení předchozích smluvních vztahů. Dodavatel zajistí přechod ze stávajícího řešení na nové služby s maximální dobou výpadku dle předmětu plnění </w:t>
      </w:r>
      <w:r w:rsidR="00B867F5" w:rsidRPr="007F1E62">
        <w:rPr>
          <w:rFonts w:asciiTheme="minorHAnsi" w:eastAsia="Times New Roman" w:hAnsiTheme="minorHAnsi" w:cstheme="minorHAnsi"/>
          <w:lang w:eastAsia="cs-CZ"/>
        </w:rPr>
        <w:t xml:space="preserve">do dvou hodin. </w:t>
      </w:r>
      <w:r w:rsidR="00F47FE6" w:rsidRPr="007F1E62">
        <w:rPr>
          <w:rFonts w:asciiTheme="minorHAnsi" w:eastAsia="Times New Roman" w:hAnsiTheme="minorHAnsi" w:cstheme="minorHAnsi"/>
          <w:lang w:eastAsia="cs-CZ"/>
        </w:rPr>
        <w:t>Harmonogram zprovoznění nových datových služeb bude předem odsouhlasen zadavatelem. V případě zprovoznění služeb v průběhu kalendářního měsíce bude účtována za tento měsíc alikvotní část měsíční ceny služby.</w:t>
      </w:r>
    </w:p>
    <w:p w14:paraId="2CFA485D" w14:textId="27037A7E" w:rsidR="003462E9" w:rsidRPr="007F1E62" w:rsidRDefault="003462E9" w:rsidP="007F1E62">
      <w:pPr>
        <w:pStyle w:val="Odstavecseseznamem"/>
        <w:numPr>
          <w:ilvl w:val="0"/>
          <w:numId w:val="2"/>
        </w:numPr>
        <w:ind w:hanging="644"/>
        <w:jc w:val="both"/>
        <w:rPr>
          <w:rFonts w:asciiTheme="minorHAnsi" w:eastAsia="Times New Roman" w:hAnsiTheme="minorHAnsi" w:cstheme="minorHAnsi"/>
          <w:lang w:eastAsia="cs-CZ"/>
        </w:rPr>
      </w:pPr>
      <w:r w:rsidRPr="007F1E62">
        <w:rPr>
          <w:rFonts w:asciiTheme="minorHAnsi" w:eastAsia="Times New Roman" w:hAnsiTheme="minorHAnsi" w:cstheme="minorHAnsi"/>
          <w:u w:val="single"/>
        </w:rPr>
        <w:t>místo plnění</w:t>
      </w:r>
      <w:r w:rsidRPr="007F1E62">
        <w:rPr>
          <w:rFonts w:asciiTheme="minorHAnsi" w:eastAsia="Times New Roman" w:hAnsiTheme="minorHAnsi" w:cstheme="minorHAnsi"/>
        </w:rPr>
        <w:t xml:space="preserve"> musí být uvedeno v souladu </w:t>
      </w:r>
      <w:r w:rsidR="005A37BB">
        <w:rPr>
          <w:rFonts w:asciiTheme="minorHAnsi" w:eastAsia="Times New Roman" w:hAnsiTheme="minorHAnsi" w:cstheme="minorHAnsi"/>
        </w:rPr>
        <w:t>se Zadávací dokumentací</w:t>
      </w:r>
      <w:r w:rsidR="00A35F62" w:rsidRPr="007F1E62">
        <w:rPr>
          <w:rFonts w:asciiTheme="minorHAnsi" w:eastAsia="Times New Roman" w:hAnsiTheme="minorHAnsi" w:cstheme="minorHAnsi"/>
        </w:rPr>
        <w:t xml:space="preserve"> a</w:t>
      </w:r>
      <w:r w:rsidR="005A37BB">
        <w:rPr>
          <w:rFonts w:asciiTheme="minorHAnsi" w:eastAsia="Times New Roman" w:hAnsiTheme="minorHAnsi" w:cstheme="minorHAnsi"/>
        </w:rPr>
        <w:t xml:space="preserve"> T</w:t>
      </w:r>
      <w:r w:rsidRPr="007F1E62">
        <w:rPr>
          <w:rFonts w:asciiTheme="minorHAnsi" w:eastAsia="Times New Roman" w:hAnsiTheme="minorHAnsi" w:cstheme="minorHAnsi"/>
        </w:rPr>
        <w:t xml:space="preserve">echnickou specifikací, tj. </w:t>
      </w:r>
      <w:r w:rsidRPr="005A37BB">
        <w:rPr>
          <w:rFonts w:asciiTheme="minorHAnsi" w:eastAsia="Times New Roman" w:hAnsiTheme="minorHAnsi" w:cstheme="minorHAnsi"/>
        </w:rPr>
        <w:t xml:space="preserve">dle přílohy č. </w:t>
      </w:r>
      <w:r w:rsidR="005A37BB">
        <w:rPr>
          <w:rFonts w:asciiTheme="minorHAnsi" w:eastAsia="Times New Roman" w:hAnsiTheme="minorHAnsi" w:cstheme="minorHAnsi"/>
        </w:rPr>
        <w:t>3</w:t>
      </w:r>
      <w:r w:rsidR="00A35F62" w:rsidRPr="007F1E62">
        <w:rPr>
          <w:rFonts w:asciiTheme="minorHAnsi" w:eastAsia="Times New Roman" w:hAnsiTheme="minorHAnsi" w:cstheme="minorHAnsi"/>
        </w:rPr>
        <w:t xml:space="preserve"> </w:t>
      </w:r>
      <w:r w:rsidRPr="007F1E62">
        <w:rPr>
          <w:rFonts w:asciiTheme="minorHAnsi" w:eastAsia="Times New Roman" w:hAnsiTheme="minorHAnsi" w:cstheme="minorHAnsi"/>
        </w:rPr>
        <w:t>ZD.</w:t>
      </w:r>
    </w:p>
    <w:p w14:paraId="18B6D83A" w14:textId="77777777" w:rsidR="00D92521" w:rsidRPr="007F1E62" w:rsidRDefault="00D92521" w:rsidP="007F1E62">
      <w:pPr>
        <w:numPr>
          <w:ilvl w:val="0"/>
          <w:numId w:val="2"/>
        </w:numPr>
        <w:tabs>
          <w:tab w:val="num" w:pos="540"/>
          <w:tab w:val="left" w:pos="5370"/>
        </w:tabs>
        <w:spacing w:after="120" w:line="276" w:lineRule="auto"/>
        <w:ind w:hanging="644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cena za služby a platební podmínky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3991E4A4" w14:textId="5EAB31B9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dodavatel promítne do smlouvy kalkulaci ceny předloženou v nabídce, v souladu s 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>přílohou</w:t>
      </w:r>
      <w:r w:rsidR="00174899" w:rsidRPr="005A37BB">
        <w:rPr>
          <w:rFonts w:asciiTheme="minorHAnsi" w:eastAsia="Times New Roman" w:hAnsiTheme="minorHAnsi" w:cstheme="minorHAnsi"/>
          <w:sz w:val="22"/>
          <w:szCs w:val="22"/>
        </w:rPr>
        <w:t xml:space="preserve"> č. </w:t>
      </w:r>
      <w:r w:rsidR="005A37BB">
        <w:rPr>
          <w:rFonts w:asciiTheme="minorHAnsi" w:eastAsia="Times New Roman" w:hAnsiTheme="minorHAnsi" w:cstheme="minorHAnsi"/>
          <w:sz w:val="22"/>
          <w:szCs w:val="22"/>
        </w:rPr>
        <w:t>5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3D9D" w:rsidRPr="005A37BB">
        <w:rPr>
          <w:rFonts w:asciiTheme="minorHAnsi" w:eastAsia="Times New Roman" w:hAnsiTheme="minorHAnsi" w:cstheme="minorHAnsi"/>
          <w:sz w:val="22"/>
          <w:szCs w:val="22"/>
        </w:rPr>
        <w:t>ZD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2CFD2A91" w14:textId="4623134C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dodavatel dále uvede, že vzhledem ke skutečnosti, že smlouva je uzavírána na dobu určitou, zůstávají jednotlivé měsíční ceny za poskytování služeb dle 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 xml:space="preserve">přílohy č. </w:t>
      </w:r>
      <w:r w:rsidR="005A37BB">
        <w:rPr>
          <w:rFonts w:asciiTheme="minorHAnsi" w:eastAsia="Times New Roman" w:hAnsiTheme="minorHAnsi" w:cstheme="minorHAnsi"/>
          <w:sz w:val="22"/>
          <w:szCs w:val="22"/>
        </w:rPr>
        <w:t>5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40C36" w:rsidRPr="005A37BB">
        <w:rPr>
          <w:rFonts w:asciiTheme="minorHAnsi" w:eastAsia="Times New Roman" w:hAnsiTheme="minorHAnsi" w:cstheme="minorHAnsi"/>
          <w:sz w:val="22"/>
          <w:szCs w:val="22"/>
        </w:rPr>
        <w:t>ZD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stejné</w:t>
      </w:r>
      <w:r w:rsidR="00174899" w:rsidRPr="007F1E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F6197" w:rsidRPr="007F1E62">
        <w:rPr>
          <w:rFonts w:asciiTheme="minorHAnsi" w:eastAsia="Times New Roman" w:hAnsiTheme="minorHAnsi" w:cstheme="minorHAnsi"/>
          <w:sz w:val="22"/>
          <w:szCs w:val="22"/>
        </w:rPr>
        <w:t>po celou dobu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plnění předmětu smlouvy;</w:t>
      </w:r>
    </w:p>
    <w:p w14:paraId="0756BEFE" w14:textId="77777777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dodavatel dále prohlásí, že stanovené ceny jsou konečné a neměnné a že jejich součástí jsou veškerá plnění, která se na základě smlouvy zavázal poskytnout zadavateli, včetně všech nákladů souvisejících s plněním předmětu smlouvy;  </w:t>
      </w:r>
    </w:p>
    <w:p w14:paraId="25E9C03C" w14:textId="77BC601E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>dodavatel dále uvede, že součástí stanovených cen j</w:t>
      </w:r>
      <w:r w:rsidR="005A37BB">
        <w:rPr>
          <w:rFonts w:asciiTheme="minorHAnsi" w:eastAsia="Times New Roman" w:hAnsiTheme="minorHAnsi" w:cstheme="minorHAnsi"/>
          <w:sz w:val="22"/>
          <w:szCs w:val="22"/>
        </w:rPr>
        <w:t>sou i služby a dodávky, které v 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>zadávací dokumentaci nebo i ve smlouvě sice výslovně uvedeny nejsou, ale dodavatel jakožto odborník o nich ví nebo má vědět, že jsou nezbytné pro plnění předmětu smlouvy;</w:t>
      </w:r>
    </w:p>
    <w:p w14:paraId="13808CD9" w14:textId="77777777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ind w:left="1434" w:hanging="357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stanovené ceny je možné měnit pouze v případě změny sazby DPH;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br/>
      </w:r>
      <w:r w:rsidRPr="007F1E62">
        <w:rPr>
          <w:rFonts w:asciiTheme="minorHAnsi" w:hAnsiTheme="minorHAnsi" w:cstheme="minorHAnsi"/>
          <w:sz w:val="22"/>
          <w:szCs w:val="22"/>
        </w:rPr>
        <w:t>v takovém případě dodavatel fakturuje cenu s DPH dle sazby DPH platné v době uskutečnění zdanitelného plnění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45A82C82" w14:textId="3F637650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platební podmínky, v rámci kterých bude sjednáno, že cena za poskytování služeb bude objednatelem </w:t>
      </w:r>
      <w:r w:rsidRPr="007F1E62">
        <w:rPr>
          <w:rFonts w:asciiTheme="minorHAnsi" w:eastAsia="Times New Roman" w:hAnsiTheme="minorHAnsi" w:cstheme="minorHAnsi"/>
          <w:b/>
          <w:sz w:val="22"/>
          <w:szCs w:val="22"/>
        </w:rPr>
        <w:t>hrazena měsíčně zpětně na základě dodavatelem řádně vystavených faktur za služby poskytnuté v daném měsíci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, za něž je objednateli fakturováno. </w:t>
      </w:r>
      <w:r w:rsidRPr="007F1E62">
        <w:rPr>
          <w:rFonts w:asciiTheme="minorHAnsi" w:hAnsiTheme="minorHAnsi" w:cstheme="minorHAnsi"/>
          <w:sz w:val="22"/>
          <w:szCs w:val="22"/>
        </w:rPr>
        <w:t>Faktura musí být členěna vždy položkově podle dodaných služeb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. Cena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 zřízení </w:t>
      </w:r>
      <w:r w:rsidR="00174899" w:rsidRPr="007F1E62">
        <w:rPr>
          <w:rFonts w:asciiTheme="minorHAnsi" w:eastAsia="Times New Roman" w:hAnsiTheme="minorHAnsi" w:cstheme="minorHAnsi"/>
          <w:sz w:val="22"/>
          <w:szCs w:val="22"/>
        </w:rPr>
        <w:t>jednotlivých služeb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dle </w:t>
      </w:r>
      <w:r w:rsidR="00174899" w:rsidRPr="007F1E62">
        <w:rPr>
          <w:rFonts w:asciiTheme="minorHAnsi" w:eastAsia="Times New Roman" w:hAnsiTheme="minorHAnsi" w:cstheme="minorHAnsi"/>
          <w:sz w:val="22"/>
          <w:szCs w:val="22"/>
        </w:rPr>
        <w:t xml:space="preserve">technické specifikace </w:t>
      </w:r>
      <w:r w:rsidR="00174899" w:rsidRPr="005A37BB">
        <w:rPr>
          <w:rFonts w:asciiTheme="minorHAnsi" w:eastAsia="Times New Roman" w:hAnsiTheme="minorHAnsi" w:cstheme="minorHAnsi"/>
          <w:sz w:val="22"/>
          <w:szCs w:val="22"/>
        </w:rPr>
        <w:t xml:space="preserve">uvedené v 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>přílo</w:t>
      </w:r>
      <w:r w:rsidR="00174899" w:rsidRPr="005A37BB">
        <w:rPr>
          <w:rFonts w:asciiTheme="minorHAnsi" w:eastAsia="Times New Roman" w:hAnsiTheme="minorHAnsi" w:cstheme="minorHAnsi"/>
          <w:sz w:val="22"/>
          <w:szCs w:val="22"/>
        </w:rPr>
        <w:t>ze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 xml:space="preserve"> č. </w:t>
      </w:r>
      <w:r w:rsidR="005A37BB" w:rsidRPr="005A37BB">
        <w:rPr>
          <w:rFonts w:asciiTheme="minorHAnsi" w:eastAsia="Times New Roman" w:hAnsiTheme="minorHAnsi" w:cstheme="minorHAnsi"/>
          <w:sz w:val="22"/>
          <w:szCs w:val="22"/>
        </w:rPr>
        <w:t>5</w:t>
      </w:r>
      <w:r w:rsidRPr="005A37B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3D9D" w:rsidRPr="005A37BB">
        <w:rPr>
          <w:rFonts w:asciiTheme="minorHAnsi" w:eastAsia="Times New Roman" w:hAnsiTheme="minorHAnsi" w:cstheme="minorHAnsi"/>
          <w:sz w:val="22"/>
          <w:szCs w:val="22"/>
        </w:rPr>
        <w:t>ZD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F1E62">
        <w:rPr>
          <w:rFonts w:asciiTheme="minorHAnsi" w:eastAsia="Times New Roman" w:hAnsiTheme="minorHAnsi" w:cstheme="minorHAnsi"/>
          <w:b/>
          <w:sz w:val="22"/>
          <w:szCs w:val="22"/>
        </w:rPr>
        <w:t>bude objednatelem uhrazena v rámci faktury za první měsíc poskytování služeb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5FC06299" w14:textId="6869509D" w:rsidR="00043A91" w:rsidRPr="00266437" w:rsidRDefault="00D92521" w:rsidP="007F1E62">
      <w:pPr>
        <w:pStyle w:val="Odstavecseseznamem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7F1E62">
        <w:rPr>
          <w:rFonts w:asciiTheme="minorHAnsi" w:eastAsia="Times New Roman" w:hAnsiTheme="minorHAnsi" w:cstheme="minorHAnsi"/>
        </w:rPr>
        <w:t>faktury musí splňovat veškeré náležitosti dle zvláštních právních předpisů, zejména zákona č. 235/2004 Sb., o dani z přidané hodnoty</w:t>
      </w:r>
      <w:r w:rsidR="003E1B3A" w:rsidRPr="007F1E62">
        <w:rPr>
          <w:rFonts w:asciiTheme="minorHAnsi" w:eastAsia="Times New Roman" w:hAnsiTheme="minorHAnsi" w:cstheme="minorHAnsi"/>
        </w:rPr>
        <w:t xml:space="preserve">, ve znění pozdějších předpisů; </w:t>
      </w:r>
      <w:r w:rsidRPr="007F1E62">
        <w:rPr>
          <w:rFonts w:asciiTheme="minorHAnsi" w:eastAsia="Times New Roman" w:hAnsiTheme="minorHAnsi" w:cstheme="minorHAnsi"/>
        </w:rPr>
        <w:t>faktura musí obsahovat číslo smlouvy stanovené objednatelem při uzavírání smlouvy;</w:t>
      </w:r>
      <w:r w:rsidR="00043A91" w:rsidRPr="007F1E62">
        <w:rPr>
          <w:rFonts w:asciiTheme="minorHAnsi" w:eastAsia="Times New Roman" w:hAnsiTheme="minorHAnsi" w:cstheme="minorHAnsi"/>
        </w:rPr>
        <w:t xml:space="preserve"> </w:t>
      </w:r>
      <w:r w:rsidR="00043A91" w:rsidRPr="00266437">
        <w:rPr>
          <w:rFonts w:asciiTheme="minorHAnsi" w:eastAsia="Times New Roman" w:hAnsiTheme="minorHAnsi" w:cstheme="minorHAnsi"/>
          <w:highlight w:val="yellow"/>
          <w:lang w:eastAsia="cs-CZ"/>
        </w:rPr>
        <w:t>Neobsahuje-li faktura některou z</w:t>
      </w:r>
      <w:r w:rsidR="00266437">
        <w:rPr>
          <w:rFonts w:asciiTheme="minorHAnsi" w:eastAsia="Times New Roman" w:hAnsiTheme="minorHAnsi" w:cstheme="minorHAnsi"/>
          <w:highlight w:val="yellow"/>
          <w:lang w:eastAsia="cs-CZ"/>
        </w:rPr>
        <w:t> </w:t>
      </w:r>
      <w:r w:rsidR="00043A91" w:rsidRPr="00266437">
        <w:rPr>
          <w:rFonts w:asciiTheme="minorHAnsi" w:eastAsia="Times New Roman" w:hAnsiTheme="minorHAnsi" w:cstheme="minorHAnsi"/>
          <w:highlight w:val="yellow"/>
          <w:lang w:eastAsia="cs-CZ"/>
        </w:rPr>
        <w:t>p</w:t>
      </w:r>
      <w:r w:rsidR="00266437">
        <w:rPr>
          <w:rFonts w:asciiTheme="minorHAnsi" w:eastAsia="Times New Roman" w:hAnsiTheme="minorHAnsi" w:cstheme="minorHAnsi"/>
          <w:highlight w:val="yellow"/>
          <w:lang w:eastAsia="cs-CZ"/>
        </w:rPr>
        <w:t xml:space="preserve">ovinných nebo dohodnutých náležitostí (zejména ve vztahu k zákonu č. 235/2004 Sb., o dani z přidané hodnoty) </w:t>
      </w:r>
      <w:r w:rsidR="00043A91" w:rsidRPr="00266437">
        <w:rPr>
          <w:rFonts w:asciiTheme="minorHAnsi" w:eastAsia="Times New Roman" w:hAnsiTheme="minorHAnsi" w:cstheme="minorHAnsi"/>
          <w:highlight w:val="yellow"/>
          <w:lang w:eastAsia="cs-CZ"/>
        </w:rPr>
        <w:t>má být objednatel oprávněn tuto fakturu vrátit poskytovateli k opravě. Doba splatnosti nové (opravené) faktury musí začít znovu běžet ode dne jejího prokazatelného doručení objednateli.</w:t>
      </w:r>
      <w:r w:rsidR="00266437" w:rsidRPr="00266437">
        <w:rPr>
          <w:rFonts w:asciiTheme="minorHAnsi" w:eastAsia="Times New Roman" w:hAnsiTheme="minorHAnsi" w:cstheme="minorHAnsi"/>
          <w:highlight w:val="yellow"/>
          <w:lang w:eastAsia="cs-CZ"/>
        </w:rPr>
        <w:t xml:space="preserve"> Bude-li chybně vyúčt</w:t>
      </w:r>
      <w:r w:rsidR="006756EA">
        <w:rPr>
          <w:rFonts w:asciiTheme="minorHAnsi" w:eastAsia="Times New Roman" w:hAnsiTheme="minorHAnsi" w:cstheme="minorHAnsi"/>
          <w:highlight w:val="yellow"/>
          <w:lang w:eastAsia="cs-CZ"/>
        </w:rPr>
        <w:t>ována cena Služby nebo DPH, má být</w:t>
      </w:r>
      <w:r w:rsidR="00266437" w:rsidRPr="00266437">
        <w:rPr>
          <w:rFonts w:asciiTheme="minorHAnsi" w:eastAsia="Times New Roman" w:hAnsiTheme="minorHAnsi" w:cstheme="minorHAnsi"/>
          <w:highlight w:val="yellow"/>
          <w:lang w:eastAsia="cs-CZ"/>
        </w:rPr>
        <w:t xml:space="preserve"> postupováno v souladu s ustanoveními § 64(8) a násl. ZEK.</w:t>
      </w:r>
    </w:p>
    <w:p w14:paraId="19D31883" w14:textId="77777777" w:rsidR="003C461D" w:rsidRPr="005A37BB" w:rsidRDefault="003C461D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A37BB">
        <w:rPr>
          <w:rFonts w:asciiTheme="minorHAnsi" w:hAnsiTheme="minorHAnsi" w:cstheme="minorHAnsi"/>
          <w:bCs/>
          <w:sz w:val="22"/>
          <w:szCs w:val="22"/>
        </w:rPr>
        <w:t>sjednaný den uskutečnění zdanitelného plnění je poslední kalendářní den v tom měsíc, kdy bylo plnění poskytováno,</w:t>
      </w:r>
    </w:p>
    <w:p w14:paraId="72936C95" w14:textId="5260160E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hAnsiTheme="minorHAnsi" w:cstheme="minorHAnsi"/>
          <w:bCs/>
          <w:sz w:val="22"/>
          <w:szCs w:val="22"/>
        </w:rPr>
        <w:t xml:space="preserve">splatnost faktury je </w:t>
      </w:r>
      <w:r w:rsidR="00B867F5" w:rsidRPr="007F1E62">
        <w:rPr>
          <w:rFonts w:asciiTheme="minorHAnsi" w:hAnsiTheme="minorHAnsi" w:cstheme="minorHAnsi"/>
          <w:bCs/>
          <w:sz w:val="22"/>
          <w:szCs w:val="22"/>
        </w:rPr>
        <w:t xml:space="preserve">30 </w:t>
      </w:r>
      <w:r w:rsidRPr="007F1E62">
        <w:rPr>
          <w:rFonts w:asciiTheme="minorHAnsi" w:hAnsiTheme="minorHAnsi" w:cstheme="minorHAnsi"/>
          <w:bCs/>
          <w:sz w:val="22"/>
          <w:szCs w:val="22"/>
        </w:rPr>
        <w:t xml:space="preserve">dnů ode dne jejího </w:t>
      </w:r>
      <w:r w:rsidR="00F11BB2" w:rsidRPr="007F1E62">
        <w:rPr>
          <w:rFonts w:asciiTheme="minorHAnsi" w:hAnsiTheme="minorHAnsi" w:cstheme="minorHAnsi"/>
          <w:bCs/>
          <w:sz w:val="22"/>
          <w:szCs w:val="22"/>
        </w:rPr>
        <w:t>vystavení;</w:t>
      </w:r>
    </w:p>
    <w:p w14:paraId="1CB98AA4" w14:textId="77777777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b/>
          <w:sz w:val="22"/>
          <w:szCs w:val="22"/>
        </w:rPr>
        <w:t xml:space="preserve">o prvotním předání služby objednatelem bude sepsán předávací protokol,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>který vyhotoví dodavatel, dodavatel dále bude předávat plnění měsíčně, tj. dle termínu stanoveného ve smlouvě, a to v souladu se zadávací dokumentací; předávací protokol bude přílohou faktury, v rámci které bu</w:t>
      </w:r>
      <w:r w:rsidR="00174899" w:rsidRPr="007F1E62">
        <w:rPr>
          <w:rFonts w:asciiTheme="minorHAnsi" w:eastAsia="Times New Roman" w:hAnsiTheme="minorHAnsi" w:cstheme="minorHAnsi"/>
          <w:sz w:val="22"/>
          <w:szCs w:val="22"/>
        </w:rPr>
        <w:t>de fakturováno zřízení služeb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5086875" w14:textId="1022C269" w:rsidR="00174899" w:rsidRPr="007F1E62" w:rsidRDefault="00143FA4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>n</w:t>
      </w:r>
      <w:r w:rsidR="00174899" w:rsidRPr="007F1E62">
        <w:rPr>
          <w:rFonts w:asciiTheme="minorHAnsi" w:eastAsia="Times New Roman" w:hAnsiTheme="minorHAnsi" w:cstheme="minorHAnsi"/>
          <w:sz w:val="22"/>
          <w:szCs w:val="22"/>
        </w:rPr>
        <w:t>ávrh smlouvy musí v souladu s vnitropodnikovou dokumentací a pravidly zadavatele obsahov</w:t>
      </w:r>
      <w:r w:rsidR="00F11BB2" w:rsidRPr="007F1E62">
        <w:rPr>
          <w:rFonts w:asciiTheme="minorHAnsi" w:eastAsia="Times New Roman" w:hAnsiTheme="minorHAnsi" w:cstheme="minorHAnsi"/>
          <w:sz w:val="22"/>
          <w:szCs w:val="22"/>
        </w:rPr>
        <w:t xml:space="preserve">at v rámci platebních podmínek </w:t>
      </w:r>
      <w:r w:rsidR="00174899" w:rsidRPr="007F1E62">
        <w:rPr>
          <w:rFonts w:asciiTheme="minorHAnsi" w:eastAsia="Times New Roman" w:hAnsiTheme="minorHAnsi" w:cstheme="minorHAnsi"/>
          <w:sz w:val="22"/>
          <w:szCs w:val="22"/>
        </w:rPr>
        <w:t>minimálně tato ustanovení (s připuštěnou úpravou označení smluvních stran či níž uvedeného textu, avšak při ponechání jeho významu):</w:t>
      </w:r>
    </w:p>
    <w:p w14:paraId="7E9C10CA" w14:textId="77777777" w:rsidR="00174899" w:rsidRPr="007F1E62" w:rsidRDefault="00174899" w:rsidP="007F1E62">
      <w:pPr>
        <w:numPr>
          <w:ilvl w:val="2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Poskytovatel je povinen bezprostředně, nejpozději do 2 pracovních dnů od zjištění insolvence, popř. od vydání rozhodnutí správce daně, že je poskytovatel nespolehlivým plátcem dle § 106a zákona č. 235/2004 Sb. o dani z přidané hodnoty, ve znění pozdějších předpisů (dále jen „ZDPH“), oznámit takovou skutečnost prokazatelně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objednateli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, příjemci zdanitelného plnění. Porušení této povinnosti je smluvními stranami považováno za podstatné porušení této smlouvy. </w:t>
      </w:r>
    </w:p>
    <w:p w14:paraId="443D0FBE" w14:textId="77777777" w:rsidR="00174899" w:rsidRPr="007F1E62" w:rsidRDefault="00174899" w:rsidP="007F1E62">
      <w:pPr>
        <w:numPr>
          <w:ilvl w:val="2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Poskytovatel se zavazuje, že bankovní účet jím určený pro zaplacení jakéhokoliv závazku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objednateli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na základě této smlouvy bude od data podpisu této smlouvy do ukončení její platnosti zveřejněn způsobem umožňující dálkový přístup ve smyslu § 98 ZDPH, v opačném případě je poskytovatel povinen sdělit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objednateli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jiný bankovní účet řádně zveřejněný ve smyslu § 98. Pokud bude zhotovitel označen správcem daně za nespolehlivého plátce ve smyslu § 106a ZDPH, zavazuje se zároveň o této skutečnosti neprodleně informovat objednatele spolu s uvedením data, kdy tato skutečnost nastala.</w:t>
      </w:r>
    </w:p>
    <w:p w14:paraId="7591B753" w14:textId="77777777" w:rsidR="00174899" w:rsidRPr="007F1E62" w:rsidRDefault="00174899" w:rsidP="007F1E62">
      <w:pPr>
        <w:numPr>
          <w:ilvl w:val="2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Pokud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objednateli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vznikne podle § 109 ZDPH ručení za nezaplacenou DPH z přijatého zdanitelného plnění od poskytovatel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, nebo se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důvodně domnívá, že tyto skutečnosti nastaly nebo mohly nastat, má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právo bez souhlasu poskytovatel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uplatnit postup zvláštního zajištění daně, tzn., že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je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oprávněn odvést částku DPH podle faktury – daňového dokladu vystavené poskytovatel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em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přímo příslušnému finančnímu úřadu a to v návaznosti na § 109 a § 109a ZDPH. </w:t>
      </w:r>
    </w:p>
    <w:p w14:paraId="7232DA0B" w14:textId="77777777" w:rsidR="00174899" w:rsidRPr="007F1E62" w:rsidRDefault="00174899" w:rsidP="007F1E62">
      <w:pPr>
        <w:numPr>
          <w:ilvl w:val="2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>Úhradou DPH na účet finančního úřadu se pohledávka poskytovatel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vůči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objednateli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v částce uhrazené DPH považuje bez ohledu na další ustanovení smlouvy za uhrazenou. Zároveň je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objednatel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povinen poskytovatel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 o takové úhradě bezprostředně po jejím uskutečnění písemně informovat.</w:t>
      </w:r>
    </w:p>
    <w:p w14:paraId="23E3D19B" w14:textId="77777777" w:rsidR="00D92521" w:rsidRPr="007F1E62" w:rsidRDefault="00D92521" w:rsidP="007F1E62">
      <w:pPr>
        <w:numPr>
          <w:ilvl w:val="0"/>
          <w:numId w:val="2"/>
        </w:numPr>
        <w:tabs>
          <w:tab w:val="num" w:pos="-851"/>
          <w:tab w:val="left" w:pos="5370"/>
        </w:tabs>
        <w:spacing w:after="120" w:line="276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  <w:u w:val="single"/>
        </w:rPr>
        <w:t>Návrh smlouvy musí dále obsahovat následující závazky, resp. splňovat následující podmínky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75ECF9A7" w14:textId="5B03D071" w:rsidR="00D92521" w:rsidRPr="00657FB1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závazek dodavatele postupovat při plnění předmětu smlouvy s odbornou péčí, podle nejlepších znalostí a schopností, sledovat a chránit oprávněné zájmy objednatele a postupovat v souladu </w:t>
      </w:r>
      <w:r w:rsidR="00143FA4" w:rsidRPr="007F1E62">
        <w:rPr>
          <w:rFonts w:asciiTheme="minorHAnsi" w:eastAsia="Times New Roman" w:hAnsiTheme="minorHAnsi" w:cstheme="minorHAnsi"/>
          <w:sz w:val="22"/>
          <w:szCs w:val="22"/>
        </w:rPr>
        <w:t xml:space="preserve">se </w:t>
      </w:r>
      <w:r w:rsidR="00143FA4" w:rsidRPr="00657FB1">
        <w:rPr>
          <w:rFonts w:asciiTheme="minorHAnsi" w:eastAsia="Times New Roman" w:hAnsiTheme="minorHAnsi" w:cstheme="minorHAnsi"/>
          <w:sz w:val="22"/>
          <w:szCs w:val="22"/>
          <w:highlight w:val="yellow"/>
        </w:rPr>
        <w:t>zákonem o elektronických komunikacích</w:t>
      </w:r>
      <w:r w:rsidR="00AB4ECA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a dalšími obecně závaznými předpisy</w:t>
      </w:r>
      <w:r w:rsidRPr="00657FB1">
        <w:rPr>
          <w:rFonts w:asciiTheme="minorHAnsi" w:eastAsia="Times New Roman" w:hAnsiTheme="minorHAnsi" w:cstheme="minorHAnsi"/>
          <w:sz w:val="22"/>
          <w:szCs w:val="22"/>
          <w:highlight w:val="yellow"/>
        </w:rPr>
        <w:t>;</w:t>
      </w:r>
    </w:p>
    <w:p w14:paraId="1F326D69" w14:textId="77777777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dále závazek dodavatele poskytnout objednateli veškerou nezbytnou součinnost k naplnění účelu smlouvy; </w:t>
      </w:r>
    </w:p>
    <w:p w14:paraId="6C9C24CA" w14:textId="77777777" w:rsidR="00D9252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závazek dodavatele zaplatit smluvní pokutu v případě: </w:t>
      </w:r>
    </w:p>
    <w:p w14:paraId="3D3C5CCF" w14:textId="3DE2174C" w:rsidR="00D92521" w:rsidRPr="00AB4ECA" w:rsidRDefault="00D92521" w:rsidP="007F1E62">
      <w:pPr>
        <w:pStyle w:val="Odstavecseseznamem"/>
        <w:numPr>
          <w:ilvl w:val="0"/>
          <w:numId w:val="3"/>
        </w:numPr>
        <w:tabs>
          <w:tab w:val="left" w:pos="5370"/>
        </w:tabs>
        <w:spacing w:after="120"/>
        <w:jc w:val="both"/>
        <w:rPr>
          <w:rFonts w:asciiTheme="minorHAnsi" w:eastAsia="Times New Roman" w:hAnsiTheme="minorHAnsi" w:cstheme="minorHAnsi"/>
          <w:highlight w:val="yellow"/>
        </w:rPr>
      </w:pPr>
      <w:r w:rsidRPr="00AB4ECA">
        <w:rPr>
          <w:rFonts w:asciiTheme="minorHAnsi" w:eastAsia="Times New Roman" w:hAnsiTheme="minorHAnsi" w:cstheme="minorHAnsi"/>
          <w:highlight w:val="yellow"/>
        </w:rPr>
        <w:t>prodlení se se zřízením služeb</w:t>
      </w:r>
      <w:r w:rsidR="00F47FE6" w:rsidRPr="00AB4ECA">
        <w:rPr>
          <w:rFonts w:asciiTheme="minorHAnsi" w:eastAsia="Times New Roman" w:hAnsiTheme="minorHAnsi" w:cstheme="minorHAnsi"/>
          <w:highlight w:val="yellow"/>
        </w:rPr>
        <w:t>, a to</w:t>
      </w:r>
      <w:r w:rsidRPr="00AB4ECA">
        <w:rPr>
          <w:rFonts w:asciiTheme="minorHAnsi" w:eastAsia="Times New Roman" w:hAnsiTheme="minorHAnsi" w:cstheme="minorHAnsi"/>
          <w:highlight w:val="yellow"/>
        </w:rPr>
        <w:t xml:space="preserve"> ve výši </w:t>
      </w:r>
      <w:r w:rsidR="00AB4ECA" w:rsidRPr="00AB4ECA">
        <w:rPr>
          <w:rFonts w:asciiTheme="minorHAnsi" w:eastAsia="Times New Roman" w:hAnsiTheme="minorHAnsi" w:cstheme="minorHAnsi"/>
          <w:highlight w:val="yellow"/>
        </w:rPr>
        <w:t>5 0</w:t>
      </w:r>
      <w:r w:rsidR="003A522B" w:rsidRPr="00AB4ECA">
        <w:rPr>
          <w:rFonts w:asciiTheme="minorHAnsi" w:eastAsia="Times New Roman" w:hAnsiTheme="minorHAnsi" w:cstheme="minorHAnsi"/>
          <w:highlight w:val="yellow"/>
        </w:rPr>
        <w:t>00</w:t>
      </w:r>
      <w:r w:rsidRPr="00AB4ECA">
        <w:rPr>
          <w:rFonts w:asciiTheme="minorHAnsi" w:eastAsia="Times New Roman" w:hAnsiTheme="minorHAnsi" w:cstheme="minorHAnsi"/>
          <w:highlight w:val="yellow"/>
        </w:rPr>
        <w:t xml:space="preserve"> Kč za každý den prodlení;</w:t>
      </w:r>
    </w:p>
    <w:p w14:paraId="4FC13BC1" w14:textId="2142097B" w:rsidR="00D92521" w:rsidRPr="007F1E62" w:rsidRDefault="00D92521" w:rsidP="007F1E62">
      <w:pPr>
        <w:pStyle w:val="Odstavecseseznamem"/>
        <w:numPr>
          <w:ilvl w:val="0"/>
          <w:numId w:val="3"/>
        </w:numPr>
        <w:tabs>
          <w:tab w:val="left" w:pos="5370"/>
        </w:tabs>
        <w:spacing w:after="120"/>
        <w:jc w:val="both"/>
        <w:rPr>
          <w:rFonts w:asciiTheme="minorHAnsi" w:eastAsia="Times New Roman" w:hAnsiTheme="minorHAnsi" w:cstheme="minorHAnsi"/>
        </w:rPr>
      </w:pPr>
      <w:r w:rsidRPr="007F1E62">
        <w:rPr>
          <w:rFonts w:asciiTheme="minorHAnsi" w:eastAsia="Times New Roman" w:hAnsiTheme="minorHAnsi" w:cstheme="minorHAnsi"/>
        </w:rPr>
        <w:t xml:space="preserve">prodlení se zahájením odstraňování vad ve lhůtě do </w:t>
      </w:r>
      <w:r w:rsidR="00B867F5" w:rsidRPr="007F1E62">
        <w:rPr>
          <w:rFonts w:asciiTheme="minorHAnsi" w:eastAsia="Times New Roman" w:hAnsiTheme="minorHAnsi" w:cstheme="minorHAnsi"/>
        </w:rPr>
        <w:t>jedné hodiny od počátku výpadku služeb</w:t>
      </w:r>
      <w:r w:rsidRPr="007F1E62">
        <w:rPr>
          <w:rFonts w:asciiTheme="minorHAnsi" w:eastAsia="Times New Roman" w:hAnsiTheme="minorHAnsi" w:cstheme="minorHAnsi"/>
        </w:rPr>
        <w:t xml:space="preserve">, </w:t>
      </w:r>
      <w:r w:rsidR="00F47FE6" w:rsidRPr="007F1E62">
        <w:rPr>
          <w:rFonts w:asciiTheme="minorHAnsi" w:eastAsia="Times New Roman" w:hAnsiTheme="minorHAnsi" w:cstheme="minorHAnsi"/>
        </w:rPr>
        <w:t xml:space="preserve">a </w:t>
      </w:r>
      <w:r w:rsidR="00B867F5" w:rsidRPr="007F1E62">
        <w:rPr>
          <w:rFonts w:asciiTheme="minorHAnsi" w:eastAsia="Times New Roman" w:hAnsiTheme="minorHAnsi" w:cstheme="minorHAnsi"/>
        </w:rPr>
        <w:t>t</w:t>
      </w:r>
      <w:r w:rsidR="00F47FE6" w:rsidRPr="007F1E62">
        <w:rPr>
          <w:rFonts w:asciiTheme="minorHAnsi" w:eastAsia="Times New Roman" w:hAnsiTheme="minorHAnsi" w:cstheme="minorHAnsi"/>
        </w:rPr>
        <w:t xml:space="preserve">o </w:t>
      </w:r>
      <w:r w:rsidRPr="007F1E62">
        <w:rPr>
          <w:rFonts w:asciiTheme="minorHAnsi" w:eastAsia="Times New Roman" w:hAnsiTheme="minorHAnsi" w:cstheme="minorHAnsi"/>
        </w:rPr>
        <w:t>ve výši 0,5 % z</w:t>
      </w:r>
      <w:r w:rsidR="00DF6197" w:rsidRPr="007F1E62">
        <w:rPr>
          <w:rFonts w:asciiTheme="minorHAnsi" w:eastAsia="Times New Roman" w:hAnsiTheme="minorHAnsi" w:cstheme="minorHAnsi"/>
        </w:rPr>
        <w:t xml:space="preserve"> celkové </w:t>
      </w:r>
      <w:r w:rsidRPr="007F1E62">
        <w:rPr>
          <w:rFonts w:asciiTheme="minorHAnsi" w:eastAsia="Times New Roman" w:hAnsiTheme="minorHAnsi" w:cstheme="minorHAnsi"/>
        </w:rPr>
        <w:t>měsíční ceny za poskytování služ</w:t>
      </w:r>
      <w:r w:rsidR="002D261C" w:rsidRPr="007F1E62">
        <w:rPr>
          <w:rFonts w:asciiTheme="minorHAnsi" w:eastAsia="Times New Roman" w:hAnsiTheme="minorHAnsi" w:cstheme="minorHAnsi"/>
        </w:rPr>
        <w:t>e</w:t>
      </w:r>
      <w:r w:rsidRPr="007F1E62">
        <w:rPr>
          <w:rFonts w:asciiTheme="minorHAnsi" w:eastAsia="Times New Roman" w:hAnsiTheme="minorHAnsi" w:cstheme="minorHAnsi"/>
        </w:rPr>
        <w:t>b vč. DPH za každ</w:t>
      </w:r>
      <w:r w:rsidR="00B867F5" w:rsidRPr="007F1E62">
        <w:rPr>
          <w:rFonts w:asciiTheme="minorHAnsi" w:eastAsia="Times New Roman" w:hAnsiTheme="minorHAnsi" w:cstheme="minorHAnsi"/>
        </w:rPr>
        <w:t>ou hodinu</w:t>
      </w:r>
      <w:r w:rsidRPr="007F1E62">
        <w:rPr>
          <w:rFonts w:asciiTheme="minorHAnsi" w:eastAsia="Times New Roman" w:hAnsiTheme="minorHAnsi" w:cstheme="minorHAnsi"/>
        </w:rPr>
        <w:t xml:space="preserve"> prodlení;</w:t>
      </w:r>
    </w:p>
    <w:p w14:paraId="1413FA5D" w14:textId="35C59B4F" w:rsidR="0031581D" w:rsidRPr="00586D9C" w:rsidRDefault="00AB4ECA" w:rsidP="00586D9C">
      <w:pPr>
        <w:pStyle w:val="Odstavecseseznamem"/>
        <w:numPr>
          <w:ilvl w:val="0"/>
          <w:numId w:val="3"/>
        </w:numPr>
        <w:tabs>
          <w:tab w:val="left" w:pos="5370"/>
        </w:tabs>
        <w:spacing w:after="120"/>
        <w:jc w:val="both"/>
        <w:rPr>
          <w:rFonts w:asciiTheme="minorHAnsi" w:eastAsia="Times New Roman" w:hAnsiTheme="minorHAnsi" w:cstheme="minorHAnsi"/>
          <w:highlight w:val="yellow"/>
        </w:rPr>
      </w:pPr>
      <w:r w:rsidRPr="00586D9C">
        <w:rPr>
          <w:rFonts w:asciiTheme="minorHAnsi" w:eastAsia="Times New Roman" w:hAnsiTheme="minorHAnsi" w:cstheme="minorHAnsi"/>
          <w:highlight w:val="yellow"/>
        </w:rPr>
        <w:t xml:space="preserve">při </w:t>
      </w:r>
      <w:r w:rsidR="00F47FE6" w:rsidRPr="00586D9C">
        <w:rPr>
          <w:rFonts w:asciiTheme="minorHAnsi" w:eastAsia="Times New Roman" w:hAnsiTheme="minorHAnsi" w:cstheme="minorHAnsi"/>
          <w:highlight w:val="yellow"/>
        </w:rPr>
        <w:t>porušení stanoveného SLA (</w:t>
      </w:r>
      <w:proofErr w:type="spellStart"/>
      <w:r w:rsidR="00F47FE6" w:rsidRPr="00586D9C">
        <w:rPr>
          <w:rFonts w:asciiTheme="minorHAnsi" w:eastAsia="Times New Roman" w:hAnsiTheme="minorHAnsi" w:cstheme="minorHAnsi"/>
          <w:highlight w:val="yellow"/>
        </w:rPr>
        <w:t>service</w:t>
      </w:r>
      <w:proofErr w:type="spellEnd"/>
      <w:r w:rsidR="00F47FE6" w:rsidRPr="00586D9C">
        <w:rPr>
          <w:rFonts w:asciiTheme="minorHAnsi" w:eastAsia="Times New Roman" w:hAnsiTheme="minorHAnsi" w:cstheme="minorHAnsi"/>
          <w:highlight w:val="yellow"/>
        </w:rPr>
        <w:t xml:space="preserve"> </w:t>
      </w:r>
      <w:proofErr w:type="spellStart"/>
      <w:r w:rsidR="00F47FE6" w:rsidRPr="00586D9C">
        <w:rPr>
          <w:rFonts w:asciiTheme="minorHAnsi" w:eastAsia="Times New Roman" w:hAnsiTheme="minorHAnsi" w:cstheme="minorHAnsi"/>
          <w:highlight w:val="yellow"/>
        </w:rPr>
        <w:t>level</w:t>
      </w:r>
      <w:proofErr w:type="spellEnd"/>
      <w:r w:rsidR="00F47FE6" w:rsidRPr="00586D9C">
        <w:rPr>
          <w:rFonts w:asciiTheme="minorHAnsi" w:eastAsia="Times New Roman" w:hAnsiTheme="minorHAnsi" w:cstheme="minorHAnsi"/>
          <w:highlight w:val="yellow"/>
        </w:rPr>
        <w:t xml:space="preserve"> </w:t>
      </w:r>
      <w:proofErr w:type="spellStart"/>
      <w:r w:rsidR="00F47FE6" w:rsidRPr="00586D9C">
        <w:rPr>
          <w:rFonts w:asciiTheme="minorHAnsi" w:eastAsia="Times New Roman" w:hAnsiTheme="minorHAnsi" w:cstheme="minorHAnsi"/>
          <w:highlight w:val="yellow"/>
        </w:rPr>
        <w:t>agreement</w:t>
      </w:r>
      <w:proofErr w:type="spellEnd"/>
      <w:r w:rsidR="00F47FE6" w:rsidRPr="00586D9C">
        <w:rPr>
          <w:rFonts w:asciiTheme="minorHAnsi" w:eastAsia="Times New Roman" w:hAnsiTheme="minorHAnsi" w:cstheme="minorHAnsi"/>
          <w:highlight w:val="yellow"/>
        </w:rPr>
        <w:t>) dostupnosti služby min. 99,</w:t>
      </w:r>
      <w:r w:rsidR="007F0E24" w:rsidRPr="00586D9C">
        <w:rPr>
          <w:rFonts w:asciiTheme="minorHAnsi" w:eastAsia="Times New Roman" w:hAnsiTheme="minorHAnsi" w:cstheme="minorHAnsi"/>
          <w:highlight w:val="yellow"/>
        </w:rPr>
        <w:t>5 </w:t>
      </w:r>
      <w:r w:rsidRPr="00586D9C">
        <w:rPr>
          <w:rFonts w:asciiTheme="minorHAnsi" w:eastAsia="Times New Roman" w:hAnsiTheme="minorHAnsi" w:cstheme="minorHAnsi"/>
          <w:highlight w:val="yellow"/>
        </w:rPr>
        <w:t xml:space="preserve">% </w:t>
      </w:r>
      <w:r w:rsidRPr="0031581D">
        <w:rPr>
          <w:rFonts w:asciiTheme="minorHAnsi" w:eastAsia="Times New Roman" w:hAnsiTheme="minorHAnsi" w:cstheme="minorHAnsi"/>
          <w:highlight w:val="yellow"/>
        </w:rPr>
        <w:t xml:space="preserve">bude objednateli snížena cena služeb </w:t>
      </w:r>
      <w:r w:rsidR="0031581D" w:rsidRPr="0031581D">
        <w:rPr>
          <w:rFonts w:asciiTheme="minorHAnsi" w:eastAsia="Times New Roman" w:hAnsiTheme="minorHAnsi" w:cstheme="minorHAnsi"/>
          <w:highlight w:val="yellow"/>
        </w:rPr>
        <w:t>podle následujícího klíče:</w:t>
      </w:r>
    </w:p>
    <w:tbl>
      <w:tblPr>
        <w:tblStyle w:val="Mkatabulky"/>
        <w:tblW w:w="0" w:type="auto"/>
        <w:tblInd w:w="2160" w:type="dxa"/>
        <w:tblLook w:val="04A0" w:firstRow="1" w:lastRow="0" w:firstColumn="1" w:lastColumn="0" w:noHBand="0" w:noVBand="1"/>
      </w:tblPr>
      <w:tblGrid>
        <w:gridCol w:w="2371"/>
        <w:gridCol w:w="3402"/>
      </w:tblGrid>
      <w:tr w:rsidR="0031581D" w:rsidRPr="00A57A57" w14:paraId="552AC4C9" w14:textId="77777777" w:rsidTr="0031581D">
        <w:tc>
          <w:tcPr>
            <w:tcW w:w="2371" w:type="dxa"/>
          </w:tcPr>
          <w:p w14:paraId="7F601548" w14:textId="49FC8BFD" w:rsidR="0031581D" w:rsidRPr="00A57A57" w:rsidRDefault="0031581D" w:rsidP="0031581D">
            <w:pPr>
              <w:pStyle w:val="Odstavecseseznamem"/>
              <w:tabs>
                <w:tab w:val="left" w:pos="5370"/>
              </w:tabs>
              <w:spacing w:before="120" w:after="120"/>
              <w:ind w:left="0"/>
              <w:jc w:val="both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Měsíční dostupnost (%)</w:t>
            </w:r>
          </w:p>
        </w:tc>
        <w:tc>
          <w:tcPr>
            <w:tcW w:w="3402" w:type="dxa"/>
          </w:tcPr>
          <w:p w14:paraId="412F7866" w14:textId="522C0F9F" w:rsidR="0031581D" w:rsidRPr="00A57A57" w:rsidRDefault="0031581D" w:rsidP="0031581D">
            <w:pPr>
              <w:pStyle w:val="Odstavecseseznamem"/>
              <w:tabs>
                <w:tab w:val="left" w:pos="5370"/>
              </w:tabs>
              <w:spacing w:before="120" w:after="120"/>
              <w:ind w:left="0"/>
              <w:jc w:val="both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Sleva z pravidelné měsíční platby</w:t>
            </w:r>
          </w:p>
        </w:tc>
      </w:tr>
      <w:tr w:rsidR="0031581D" w:rsidRPr="00A57A57" w14:paraId="5C1E24D6" w14:textId="77777777" w:rsidTr="0031581D">
        <w:trPr>
          <w:trHeight w:val="240"/>
        </w:trPr>
        <w:tc>
          <w:tcPr>
            <w:tcW w:w="2371" w:type="dxa"/>
          </w:tcPr>
          <w:p w14:paraId="19BD6260" w14:textId="7C6BD817" w:rsidR="0031581D" w:rsidRPr="00A57A57" w:rsidRDefault="0031581D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99,4 – 99,</w:t>
            </w:r>
            <w:r w:rsidR="00A57A57" w:rsidRPr="00A57A57">
              <w:rPr>
                <w:rFonts w:asciiTheme="minorHAnsi" w:eastAsia="Times New Roman" w:hAnsiTheme="minorHAnsi" w:cstheme="minorHAnsi"/>
                <w:highlight w:val="yellow"/>
              </w:rPr>
              <w:t>0</w:t>
            </w:r>
          </w:p>
        </w:tc>
        <w:tc>
          <w:tcPr>
            <w:tcW w:w="3402" w:type="dxa"/>
            <w:vAlign w:val="center"/>
          </w:tcPr>
          <w:p w14:paraId="0685F53F" w14:textId="3D2557A3" w:rsidR="0031581D" w:rsidRPr="00A57A57" w:rsidRDefault="0031581D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10 %</w:t>
            </w:r>
          </w:p>
        </w:tc>
      </w:tr>
      <w:tr w:rsidR="0031581D" w:rsidRPr="00A57A57" w14:paraId="40856CFF" w14:textId="77777777" w:rsidTr="0031581D">
        <w:tc>
          <w:tcPr>
            <w:tcW w:w="2371" w:type="dxa"/>
          </w:tcPr>
          <w:p w14:paraId="20944399" w14:textId="6E540965" w:rsidR="0031581D" w:rsidRPr="00A57A57" w:rsidRDefault="00A57A57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98,9</w:t>
            </w:r>
            <w:r w:rsidR="0031581D" w:rsidRPr="00A57A57">
              <w:rPr>
                <w:rFonts w:asciiTheme="minorHAnsi" w:eastAsia="Times New Roman" w:hAnsiTheme="minorHAnsi" w:cstheme="minorHAnsi"/>
                <w:highlight w:val="yellow"/>
              </w:rPr>
              <w:t xml:space="preserve"> – 98,</w:t>
            </w: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5</w:t>
            </w:r>
          </w:p>
        </w:tc>
        <w:tc>
          <w:tcPr>
            <w:tcW w:w="3402" w:type="dxa"/>
          </w:tcPr>
          <w:p w14:paraId="188BA6A9" w14:textId="18286247" w:rsidR="0031581D" w:rsidRPr="00A57A57" w:rsidRDefault="0031581D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20 %</w:t>
            </w:r>
          </w:p>
        </w:tc>
      </w:tr>
      <w:tr w:rsidR="0031581D" w:rsidRPr="00A57A57" w14:paraId="50DFFD3F" w14:textId="77777777" w:rsidTr="0031581D">
        <w:tc>
          <w:tcPr>
            <w:tcW w:w="2371" w:type="dxa"/>
          </w:tcPr>
          <w:p w14:paraId="4C18D755" w14:textId="28F9657F" w:rsidR="0031581D" w:rsidRPr="00A57A57" w:rsidRDefault="00A57A57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98,4</w:t>
            </w:r>
            <w:r w:rsidR="0031581D" w:rsidRPr="00A57A57">
              <w:rPr>
                <w:rFonts w:asciiTheme="minorHAnsi" w:eastAsia="Times New Roman" w:hAnsiTheme="minorHAnsi" w:cstheme="minorHAnsi"/>
                <w:highlight w:val="yellow"/>
              </w:rPr>
              <w:t xml:space="preserve"> – 98,</w:t>
            </w: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0</w:t>
            </w:r>
          </w:p>
        </w:tc>
        <w:tc>
          <w:tcPr>
            <w:tcW w:w="3402" w:type="dxa"/>
          </w:tcPr>
          <w:p w14:paraId="501F03C2" w14:textId="319F0C50" w:rsidR="0031581D" w:rsidRPr="00A57A57" w:rsidRDefault="00A57A57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35 %</w:t>
            </w:r>
          </w:p>
        </w:tc>
      </w:tr>
      <w:tr w:rsidR="0031581D" w:rsidRPr="00A57A57" w14:paraId="69C233C2" w14:textId="77777777" w:rsidTr="0031581D">
        <w:tc>
          <w:tcPr>
            <w:tcW w:w="2371" w:type="dxa"/>
          </w:tcPr>
          <w:p w14:paraId="3CD749D4" w14:textId="02B79215" w:rsidR="0031581D" w:rsidRPr="00A57A57" w:rsidRDefault="00A57A57" w:rsidP="00A57A57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97,9 – 97,0</w:t>
            </w:r>
          </w:p>
        </w:tc>
        <w:tc>
          <w:tcPr>
            <w:tcW w:w="3402" w:type="dxa"/>
          </w:tcPr>
          <w:p w14:paraId="62517353" w14:textId="1AE564AB" w:rsidR="0031581D" w:rsidRPr="00A57A57" w:rsidRDefault="00A57A57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50 %</w:t>
            </w:r>
          </w:p>
        </w:tc>
      </w:tr>
      <w:tr w:rsidR="0031581D" w:rsidRPr="00A57A57" w14:paraId="67E95EA5" w14:textId="77777777" w:rsidTr="0031581D">
        <w:tc>
          <w:tcPr>
            <w:tcW w:w="2371" w:type="dxa"/>
          </w:tcPr>
          <w:p w14:paraId="47D84DD1" w14:textId="2D065E04" w:rsidR="0031581D" w:rsidRPr="00A57A57" w:rsidRDefault="00A57A57" w:rsidP="00B404D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96,9 –</w:t>
            </w:r>
            <w:r>
              <w:rPr>
                <w:rFonts w:asciiTheme="minorHAnsi" w:eastAsia="Times New Roman" w:hAnsiTheme="minorHAnsi" w:cstheme="minorHAnsi"/>
                <w:highlight w:val="yellow"/>
              </w:rPr>
              <w:t xml:space="preserve"> 9</w:t>
            </w:r>
            <w:r w:rsidR="00B404DD">
              <w:rPr>
                <w:rFonts w:asciiTheme="minorHAnsi" w:eastAsia="Times New Roman" w:hAnsiTheme="minorHAnsi" w:cstheme="minorHAnsi"/>
                <w:highlight w:val="yellow"/>
              </w:rPr>
              <w:t>5</w:t>
            </w: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,0</w:t>
            </w:r>
          </w:p>
        </w:tc>
        <w:tc>
          <w:tcPr>
            <w:tcW w:w="3402" w:type="dxa"/>
          </w:tcPr>
          <w:p w14:paraId="28E15793" w14:textId="00C686F3" w:rsidR="0031581D" w:rsidRPr="00A57A57" w:rsidRDefault="00A57A57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75 %</w:t>
            </w:r>
          </w:p>
        </w:tc>
      </w:tr>
      <w:tr w:rsidR="0031581D" w:rsidRPr="00A57A57" w14:paraId="7F2758DD" w14:textId="77777777" w:rsidTr="0031581D">
        <w:tc>
          <w:tcPr>
            <w:tcW w:w="2371" w:type="dxa"/>
          </w:tcPr>
          <w:p w14:paraId="13681A59" w14:textId="6015A8B8" w:rsidR="0031581D" w:rsidRPr="00A57A57" w:rsidRDefault="00B404DD" w:rsidP="00A57A57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highlight w:val="yellow"/>
              </w:rPr>
              <w:t>Méně než 94</w:t>
            </w:r>
            <w:r w:rsidR="00A57A57">
              <w:rPr>
                <w:rFonts w:asciiTheme="minorHAnsi" w:eastAsia="Times New Roman" w:hAnsiTheme="minorHAnsi" w:cstheme="minorHAnsi"/>
                <w:highlight w:val="yellow"/>
              </w:rPr>
              <w:t>,9</w:t>
            </w:r>
          </w:p>
        </w:tc>
        <w:tc>
          <w:tcPr>
            <w:tcW w:w="3402" w:type="dxa"/>
          </w:tcPr>
          <w:p w14:paraId="0E7D7CBF" w14:textId="40F46FA5" w:rsidR="0031581D" w:rsidRPr="00A57A57" w:rsidRDefault="00A57A57" w:rsidP="0031581D">
            <w:pPr>
              <w:pStyle w:val="Odstavecseseznamem"/>
              <w:tabs>
                <w:tab w:val="left" w:pos="5370"/>
              </w:tabs>
              <w:spacing w:after="0"/>
              <w:ind w:left="0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  <w:r w:rsidRPr="00A57A57">
              <w:rPr>
                <w:rFonts w:asciiTheme="minorHAnsi" w:eastAsia="Times New Roman" w:hAnsiTheme="minorHAnsi" w:cstheme="minorHAnsi"/>
                <w:highlight w:val="yellow"/>
              </w:rPr>
              <w:t>100 %</w:t>
            </w:r>
          </w:p>
        </w:tc>
      </w:tr>
    </w:tbl>
    <w:p w14:paraId="7C4F57CE" w14:textId="77777777" w:rsidR="00586D9C" w:rsidRDefault="00586D9C" w:rsidP="00586D9C">
      <w:pPr>
        <w:pStyle w:val="Odstavecseseznamem"/>
        <w:tabs>
          <w:tab w:val="left" w:pos="5370"/>
        </w:tabs>
        <w:spacing w:after="120"/>
        <w:ind w:left="1800"/>
        <w:jc w:val="both"/>
        <w:rPr>
          <w:rFonts w:asciiTheme="minorHAnsi" w:eastAsia="Times New Roman" w:hAnsiTheme="minorHAnsi" w:cstheme="minorHAnsi"/>
        </w:rPr>
      </w:pPr>
    </w:p>
    <w:p w14:paraId="22868738" w14:textId="3F882801" w:rsidR="0031581D" w:rsidRPr="00586D9C" w:rsidRDefault="00586D9C" w:rsidP="00586D9C">
      <w:pPr>
        <w:pStyle w:val="Odstavecseseznamem"/>
        <w:numPr>
          <w:ilvl w:val="0"/>
          <w:numId w:val="3"/>
        </w:numPr>
        <w:tabs>
          <w:tab w:val="left" w:pos="5370"/>
        </w:tabs>
        <w:spacing w:after="120"/>
        <w:jc w:val="both"/>
        <w:rPr>
          <w:rFonts w:asciiTheme="minorHAnsi" w:eastAsia="Times New Roman" w:hAnsiTheme="minorHAnsi" w:cstheme="minorHAnsi"/>
          <w:highlight w:val="yellow"/>
        </w:rPr>
      </w:pPr>
      <w:r>
        <w:rPr>
          <w:rFonts w:asciiTheme="minorHAnsi" w:eastAsia="Times New Roman" w:hAnsiTheme="minorHAnsi" w:cstheme="minorHAnsi"/>
          <w:highlight w:val="yellow"/>
        </w:rPr>
        <w:t>j</w:t>
      </w:r>
      <w:r w:rsidRPr="00586D9C">
        <w:rPr>
          <w:rFonts w:asciiTheme="minorHAnsi" w:eastAsia="Times New Roman" w:hAnsiTheme="minorHAnsi" w:cstheme="minorHAnsi"/>
          <w:highlight w:val="yellow"/>
        </w:rPr>
        <w:t>akákoliv sleva z měsíční platby</w:t>
      </w:r>
      <w:r w:rsidR="00B404DD">
        <w:rPr>
          <w:rFonts w:asciiTheme="minorHAnsi" w:eastAsia="Times New Roman" w:hAnsiTheme="minorHAnsi" w:cstheme="minorHAnsi"/>
          <w:highlight w:val="yellow"/>
        </w:rPr>
        <w:t xml:space="preserve"> bude vypočtena za každý měsíc </w:t>
      </w:r>
      <w:r w:rsidRPr="00586D9C">
        <w:rPr>
          <w:rFonts w:asciiTheme="minorHAnsi" w:eastAsia="Times New Roman" w:hAnsiTheme="minorHAnsi" w:cstheme="minorHAnsi"/>
          <w:highlight w:val="yellow"/>
        </w:rPr>
        <w:t>a bude odečtena od faktury v následujícím měsíci.</w:t>
      </w:r>
    </w:p>
    <w:p w14:paraId="1801996F" w14:textId="5D7872C9" w:rsidR="00D92521" w:rsidRPr="0031581D" w:rsidRDefault="00D92521" w:rsidP="002F03E7">
      <w:pPr>
        <w:pStyle w:val="Odstavecseseznamem"/>
        <w:numPr>
          <w:ilvl w:val="1"/>
          <w:numId w:val="2"/>
        </w:numPr>
        <w:tabs>
          <w:tab w:val="left" w:pos="5370"/>
        </w:tabs>
        <w:spacing w:before="120" w:after="120"/>
        <w:jc w:val="both"/>
        <w:rPr>
          <w:rFonts w:asciiTheme="minorHAnsi" w:eastAsia="Times New Roman" w:hAnsiTheme="minorHAnsi" w:cstheme="minorHAnsi"/>
        </w:rPr>
      </w:pPr>
      <w:r w:rsidRPr="0031581D">
        <w:rPr>
          <w:rFonts w:asciiTheme="minorHAnsi" w:hAnsiTheme="minorHAnsi" w:cstheme="minorHAnsi"/>
        </w:rPr>
        <w:t>v případě prodlení objednatele se zaplacením faktury poskytovatele je poskytovatel oprávněn požadovat úroky z prodlení v zákonné výši z dlužné částky za každý den prodlení</w:t>
      </w:r>
      <w:r w:rsidRPr="0031581D">
        <w:rPr>
          <w:rFonts w:asciiTheme="minorHAnsi" w:eastAsia="Times New Roman" w:hAnsiTheme="minorHAnsi" w:cstheme="minorHAnsi"/>
        </w:rPr>
        <w:t>;</w:t>
      </w:r>
    </w:p>
    <w:p w14:paraId="1067F897" w14:textId="77777777" w:rsidR="009D6001" w:rsidRPr="007F1E62" w:rsidRDefault="00D92521" w:rsidP="007F1E62">
      <w:pPr>
        <w:numPr>
          <w:ilvl w:val="1"/>
          <w:numId w:val="2"/>
        </w:numPr>
        <w:tabs>
          <w:tab w:val="left" w:pos="5370"/>
        </w:tabs>
        <w:spacing w:before="120"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jakákoliv ustanovení smlouvy vč. jejích příloh obsahující sankce vůči objednateli nad rámec výše uvedených </w:t>
      </w:r>
      <w:r w:rsidR="009D6001" w:rsidRPr="007F1E62">
        <w:rPr>
          <w:rFonts w:asciiTheme="minorHAnsi" w:eastAsia="Times New Roman" w:hAnsiTheme="minorHAnsi" w:cstheme="minorHAnsi"/>
          <w:sz w:val="22"/>
          <w:szCs w:val="22"/>
        </w:rPr>
        <w:t>se nepoužijí;</w:t>
      </w:r>
    </w:p>
    <w:p w14:paraId="7FB87458" w14:textId="4AA238EA" w:rsidR="009D6001" w:rsidRPr="007F1E62" w:rsidRDefault="009D6001" w:rsidP="007F1E62">
      <w:pPr>
        <w:numPr>
          <w:ilvl w:val="1"/>
          <w:numId w:val="2"/>
        </w:numPr>
        <w:tabs>
          <w:tab w:val="left" w:pos="5370"/>
        </w:tabs>
        <w:spacing w:before="120" w:after="120"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závazek dodavatele poskytovat služby řádně a včas a odstraňovat vady tohoto plnění, přičemž dodavatel (poskytovatel) bude povinen zahájit práce na odstranění vad do </w:t>
      </w:r>
      <w:r w:rsidR="00B867F5" w:rsidRPr="007F1E62">
        <w:rPr>
          <w:rFonts w:asciiTheme="minorHAnsi" w:eastAsia="Times New Roman" w:hAnsiTheme="minorHAnsi" w:cstheme="minorHAnsi"/>
          <w:sz w:val="22"/>
          <w:szCs w:val="22"/>
        </w:rPr>
        <w:t xml:space="preserve">15 minut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a odstranit vady do </w:t>
      </w:r>
      <w:r w:rsidR="005974EB" w:rsidRPr="007F1E62">
        <w:rPr>
          <w:rFonts w:asciiTheme="minorHAnsi" w:eastAsia="Times New Roman" w:hAnsiTheme="minorHAnsi" w:cstheme="minorHAnsi"/>
          <w:sz w:val="22"/>
          <w:szCs w:val="22"/>
        </w:rPr>
        <w:t xml:space="preserve">2 hodin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 xml:space="preserve">od jejich nahlášení, nestanoví-li objednatel lhůtu delší; v případě, že dodavatel nezahájí odstraňování vad nebo odstraní vady ve lhůtách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dle předchozí věty, je objednatel oprávněn odstranit vady na vlastní náklady, které je dodavatel povinen následně objednateli uhradit do </w:t>
      </w:r>
      <w:r w:rsidR="005974EB" w:rsidRPr="007F1E62">
        <w:rPr>
          <w:rFonts w:asciiTheme="minorHAnsi" w:eastAsia="Times New Roman" w:hAnsiTheme="minorHAnsi" w:cstheme="minorHAnsi"/>
          <w:sz w:val="22"/>
          <w:szCs w:val="22"/>
        </w:rPr>
        <w:t xml:space="preserve">30 </w:t>
      </w:r>
      <w:r w:rsidRPr="007F1E62">
        <w:rPr>
          <w:rFonts w:asciiTheme="minorHAnsi" w:eastAsia="Times New Roman" w:hAnsiTheme="minorHAnsi" w:cstheme="minorHAnsi"/>
          <w:sz w:val="22"/>
          <w:szCs w:val="22"/>
        </w:rPr>
        <w:t>dnů ode dne obdržení faktury.</w:t>
      </w:r>
    </w:p>
    <w:p w14:paraId="190563E7" w14:textId="77777777" w:rsidR="009B6B87" w:rsidRPr="007F1E62" w:rsidRDefault="007D1925" w:rsidP="007F1E62">
      <w:pPr>
        <w:pStyle w:val="Odstavecseseznamem"/>
        <w:numPr>
          <w:ilvl w:val="0"/>
          <w:numId w:val="2"/>
        </w:numPr>
        <w:tabs>
          <w:tab w:val="num" w:pos="426"/>
        </w:tabs>
        <w:ind w:left="425" w:hanging="425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7F1E62">
        <w:rPr>
          <w:rFonts w:asciiTheme="minorHAnsi" w:eastAsia="Times New Roman" w:hAnsiTheme="minorHAnsi" w:cstheme="minorHAnsi"/>
        </w:rPr>
        <w:t>P</w:t>
      </w:r>
      <w:r w:rsidR="00D92521" w:rsidRPr="007F1E62">
        <w:rPr>
          <w:rFonts w:asciiTheme="minorHAnsi" w:eastAsia="Times New Roman" w:hAnsiTheme="minorHAnsi" w:cstheme="minorHAnsi"/>
        </w:rPr>
        <w:t>rohlášení dodavatele, že zadavatel je oprávněn znění podepsané smlouvy včetně jejích dodatků zveřejnit</w:t>
      </w:r>
      <w:r w:rsidR="00043A91" w:rsidRPr="007F1E62">
        <w:rPr>
          <w:rFonts w:asciiTheme="minorHAnsi" w:eastAsia="Times New Roman" w:hAnsiTheme="minorHAnsi" w:cstheme="minorHAnsi"/>
        </w:rPr>
        <w:t xml:space="preserve"> v registru smluv </w:t>
      </w:r>
      <w:r w:rsidR="009D6001" w:rsidRPr="007F1E62">
        <w:rPr>
          <w:rFonts w:asciiTheme="minorHAnsi" w:eastAsia="Times New Roman" w:hAnsiTheme="minorHAnsi" w:cstheme="minorHAnsi"/>
        </w:rPr>
        <w:t xml:space="preserve">ve smyslu </w:t>
      </w:r>
      <w:r w:rsidR="00043A91" w:rsidRPr="007F1E62">
        <w:rPr>
          <w:rFonts w:asciiTheme="minorHAnsi" w:eastAsia="Times New Roman" w:hAnsiTheme="minorHAnsi" w:cstheme="minorHAnsi"/>
          <w:lang w:eastAsia="cs-CZ"/>
        </w:rPr>
        <w:t>zákon</w:t>
      </w:r>
      <w:r w:rsidR="009D6001" w:rsidRPr="007F1E62">
        <w:rPr>
          <w:rFonts w:asciiTheme="minorHAnsi" w:eastAsia="Times New Roman" w:hAnsiTheme="minorHAnsi" w:cstheme="minorHAnsi"/>
          <w:lang w:eastAsia="cs-CZ"/>
        </w:rPr>
        <w:t>a</w:t>
      </w:r>
      <w:r w:rsidR="00043A91" w:rsidRPr="007F1E62">
        <w:rPr>
          <w:rFonts w:asciiTheme="minorHAnsi" w:eastAsia="Times New Roman" w:hAnsiTheme="minorHAnsi" w:cstheme="minorHAnsi"/>
          <w:lang w:eastAsia="cs-CZ"/>
        </w:rPr>
        <w:t xml:space="preserve"> č. 340/2015 Sb., o zvláštních podmínkách účinnosti některých smluv, uveřejňování těchto smluv a o registru smluv (zákon o registru smluv). Úkony s tím spojené zajistí </w:t>
      </w:r>
      <w:r w:rsidR="009D6001" w:rsidRPr="007F1E62">
        <w:rPr>
          <w:rFonts w:asciiTheme="minorHAnsi" w:eastAsia="Times New Roman" w:hAnsiTheme="minorHAnsi" w:cstheme="minorHAnsi"/>
          <w:lang w:eastAsia="cs-CZ"/>
        </w:rPr>
        <w:t>objednatel</w:t>
      </w:r>
      <w:r w:rsidR="00043A91" w:rsidRPr="007F1E62">
        <w:rPr>
          <w:rFonts w:asciiTheme="minorHAnsi" w:eastAsia="Times New Roman" w:hAnsiTheme="minorHAnsi" w:cstheme="minorHAnsi"/>
          <w:lang w:eastAsia="cs-CZ"/>
        </w:rPr>
        <w:t>.</w:t>
      </w:r>
    </w:p>
    <w:p w14:paraId="0A96D8C2" w14:textId="38A2078E" w:rsidR="00C305F0" w:rsidRPr="007F1E62" w:rsidRDefault="00D92521" w:rsidP="007F1E62">
      <w:pPr>
        <w:pStyle w:val="Odstavecseseznamem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Theme="minorHAnsi" w:eastAsia="Times New Roman" w:hAnsiTheme="minorHAnsi" w:cstheme="minorHAnsi"/>
          <w:lang w:eastAsia="cs-CZ"/>
        </w:rPr>
      </w:pPr>
      <w:r w:rsidRPr="007F1E62">
        <w:rPr>
          <w:rFonts w:asciiTheme="minorHAnsi" w:eastAsia="Times New Roman" w:hAnsiTheme="minorHAnsi" w:cstheme="minorHAnsi"/>
          <w:u w:val="single"/>
        </w:rPr>
        <w:t>Odstoupení od smlouvy</w:t>
      </w:r>
      <w:r w:rsidRPr="007F1E62">
        <w:rPr>
          <w:rFonts w:asciiTheme="minorHAnsi" w:eastAsia="Times New Roman" w:hAnsiTheme="minorHAnsi" w:cstheme="minorHAnsi"/>
        </w:rPr>
        <w:t>: dodavatel je povinen v návrhu smlouvy uvést, že objednatel je oprávněn od smlouvy písemně odstoupit z důvodu jejího podstatného porušení dodavatelem (odstoupení od smlouvy ze strany objednatele nesmí být spojeno s uložením jakékoliv sankce k tíži objednatele), a dále v případech prodlení se zřízením služe</w:t>
      </w:r>
      <w:r w:rsidR="009B6B87" w:rsidRPr="007F1E62">
        <w:rPr>
          <w:rFonts w:asciiTheme="minorHAnsi" w:eastAsia="Times New Roman" w:hAnsiTheme="minorHAnsi" w:cstheme="minorHAnsi"/>
        </w:rPr>
        <w:t>b nebo neodstranění vad</w:t>
      </w:r>
      <w:r w:rsidRPr="007F1E62">
        <w:rPr>
          <w:rFonts w:asciiTheme="minorHAnsi" w:eastAsia="Times New Roman" w:hAnsiTheme="minorHAnsi" w:cstheme="minorHAnsi"/>
        </w:rPr>
        <w:t xml:space="preserve"> plnění předmětu smlouvy delší než </w:t>
      </w:r>
      <w:r w:rsidR="005974EB" w:rsidRPr="007F1E62">
        <w:rPr>
          <w:rFonts w:asciiTheme="minorHAnsi" w:eastAsia="Times New Roman" w:hAnsiTheme="minorHAnsi" w:cstheme="minorHAnsi"/>
        </w:rPr>
        <w:t xml:space="preserve">3 </w:t>
      </w:r>
      <w:r w:rsidR="0003349C" w:rsidRPr="007F1E62">
        <w:rPr>
          <w:rFonts w:asciiTheme="minorHAnsi" w:eastAsia="Times New Roman" w:hAnsiTheme="minorHAnsi" w:cstheme="minorHAnsi"/>
        </w:rPr>
        <w:t xml:space="preserve">kalendářní </w:t>
      </w:r>
      <w:r w:rsidRPr="007F1E62">
        <w:rPr>
          <w:rFonts w:asciiTheme="minorHAnsi" w:eastAsia="Times New Roman" w:hAnsiTheme="minorHAnsi" w:cstheme="minorHAnsi"/>
        </w:rPr>
        <w:t>dn</w:t>
      </w:r>
      <w:r w:rsidR="0003349C" w:rsidRPr="007F1E62">
        <w:rPr>
          <w:rFonts w:asciiTheme="minorHAnsi" w:eastAsia="Times New Roman" w:hAnsiTheme="minorHAnsi" w:cstheme="minorHAnsi"/>
        </w:rPr>
        <w:t>y</w:t>
      </w:r>
      <w:r w:rsidRPr="007F1E62">
        <w:rPr>
          <w:rFonts w:asciiTheme="minorHAnsi" w:eastAsia="Times New Roman" w:hAnsiTheme="minorHAnsi" w:cstheme="minorHAnsi"/>
        </w:rPr>
        <w:t>. Tímto není dotčeno právo smluvních stran ukončit trvání smluvního vztahu rovněž na základě příslušných ustanovení obecně závazných právních předpisů</w:t>
      </w:r>
      <w:r w:rsidR="009B6B87" w:rsidRPr="007F1E62">
        <w:rPr>
          <w:rFonts w:asciiTheme="minorHAnsi" w:eastAsia="Times New Roman" w:hAnsiTheme="minorHAnsi" w:cstheme="minorHAnsi"/>
        </w:rPr>
        <w:t xml:space="preserve"> </w:t>
      </w:r>
      <w:r w:rsidRPr="007F1E62">
        <w:rPr>
          <w:rFonts w:asciiTheme="minorHAnsi" w:eastAsia="Times New Roman" w:hAnsiTheme="minorHAnsi" w:cstheme="minorHAnsi"/>
        </w:rPr>
        <w:t xml:space="preserve">z důvodu porušení povinnosti některou ze smluvních stran; </w:t>
      </w:r>
      <w:r w:rsidR="009B6B87" w:rsidRPr="007F1E62">
        <w:rPr>
          <w:rFonts w:asciiTheme="minorHAnsi" w:eastAsia="Times New Roman" w:hAnsiTheme="minorHAnsi" w:cstheme="minorHAnsi"/>
        </w:rPr>
        <w:t>Za podstatné porušení smlouvy bude považováno opakované nedodržování technických parametrů poskytovaných služeb, zejména SLA a RTT, tj. 2 a více porušení během tří po sobě následujících měsíců.</w:t>
      </w:r>
    </w:p>
    <w:p w14:paraId="7950D497" w14:textId="2169328C" w:rsidR="00643F42" w:rsidRPr="00610C76" w:rsidRDefault="00610C76" w:rsidP="007F1E62">
      <w:pPr>
        <w:numPr>
          <w:ilvl w:val="0"/>
          <w:numId w:val="2"/>
        </w:numPr>
        <w:tabs>
          <w:tab w:val="num" w:pos="426"/>
        </w:tabs>
        <w:spacing w:after="120" w:line="276" w:lineRule="auto"/>
        <w:ind w:left="426" w:hanging="426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  <w:r>
        <w:rPr>
          <w:rFonts w:asciiTheme="minorHAnsi" w:eastAsia="Times New Roman" w:hAnsiTheme="minorHAnsi" w:cstheme="minorHAnsi"/>
          <w:sz w:val="22"/>
          <w:szCs w:val="22"/>
          <w:highlight w:val="yellow"/>
        </w:rPr>
        <w:t>Pokud bude smlouva uzavírána v listinné podobě, musí být p</w:t>
      </w:r>
      <w:r w:rsidR="00D92521" w:rsidRPr="00610C76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očet vyhotovení smlouvy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  <w:highlight w:val="yellow"/>
        </w:rPr>
        <w:t>stanoven</w:t>
      </w:r>
      <w:r w:rsidR="007D1925" w:rsidRPr="00610C76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</w:t>
      </w:r>
      <w:r w:rsidR="00D92521" w:rsidRPr="00610C76">
        <w:rPr>
          <w:rFonts w:asciiTheme="minorHAnsi" w:eastAsia="Times New Roman" w:hAnsiTheme="minorHAnsi" w:cstheme="minorHAnsi"/>
          <w:sz w:val="22"/>
          <w:szCs w:val="22"/>
          <w:highlight w:val="yellow"/>
        </w:rPr>
        <w:t>tak, aby zadavateli připadl</w:t>
      </w:r>
      <w:r w:rsidR="003C461D" w:rsidRPr="00610C76">
        <w:rPr>
          <w:rFonts w:asciiTheme="minorHAnsi" w:eastAsia="Times New Roman" w:hAnsiTheme="minorHAnsi" w:cstheme="minorHAnsi"/>
          <w:sz w:val="22"/>
          <w:szCs w:val="22"/>
          <w:highlight w:val="yellow"/>
        </w:rPr>
        <w:t>y 2 originální</w:t>
      </w:r>
      <w:r w:rsidR="00D40C36" w:rsidRPr="00610C76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</w:t>
      </w:r>
      <w:r w:rsidR="00D92521" w:rsidRPr="00610C76">
        <w:rPr>
          <w:rFonts w:asciiTheme="minorHAnsi" w:eastAsia="Times New Roman" w:hAnsiTheme="minorHAnsi" w:cstheme="minorHAnsi"/>
          <w:sz w:val="22"/>
          <w:szCs w:val="22"/>
          <w:highlight w:val="yellow"/>
        </w:rPr>
        <w:t>vyhotovení</w:t>
      </w:r>
      <w:r w:rsidRPr="00610C76">
        <w:rPr>
          <w:rFonts w:asciiTheme="minorHAnsi" w:eastAsia="Times New Roman" w:hAnsiTheme="minorHAnsi" w:cstheme="minorHAnsi"/>
          <w:sz w:val="22"/>
          <w:szCs w:val="22"/>
          <w:highlight w:val="yellow"/>
        </w:rPr>
        <w:t xml:space="preserve"> smlouvy. V případě, že bude smlouva uzavírána elektronicky, bude toto ve smlouvě uvedeno</w:t>
      </w:r>
      <w:r>
        <w:rPr>
          <w:rFonts w:asciiTheme="minorHAnsi" w:eastAsia="Times New Roman" w:hAnsiTheme="minorHAnsi" w:cstheme="minorHAnsi"/>
          <w:sz w:val="22"/>
          <w:szCs w:val="22"/>
          <w:highlight w:val="yellow"/>
        </w:rPr>
        <w:t>.</w:t>
      </w:r>
    </w:p>
    <w:p w14:paraId="2CF894CD" w14:textId="77777777" w:rsidR="007D1925" w:rsidRPr="007F1E62" w:rsidRDefault="00D92521" w:rsidP="007F1E62">
      <w:pPr>
        <w:numPr>
          <w:ilvl w:val="0"/>
          <w:numId w:val="2"/>
        </w:numPr>
        <w:tabs>
          <w:tab w:val="num" w:pos="567"/>
          <w:tab w:val="left" w:pos="5370"/>
        </w:tabs>
        <w:spacing w:after="120" w:line="276" w:lineRule="auto"/>
        <w:ind w:left="426" w:hanging="426"/>
        <w:rPr>
          <w:rFonts w:asciiTheme="minorHAnsi" w:eastAsia="Times New Roman" w:hAnsiTheme="minorHAnsi" w:cstheme="minorHAnsi"/>
          <w:sz w:val="22"/>
          <w:szCs w:val="22"/>
        </w:rPr>
      </w:pPr>
      <w:r w:rsidRPr="007F1E62">
        <w:rPr>
          <w:rFonts w:asciiTheme="minorHAnsi" w:eastAsiaTheme="minorHAnsi" w:hAnsiTheme="minorHAnsi" w:cstheme="minorHAnsi"/>
          <w:color w:val="000000"/>
          <w:sz w:val="22"/>
          <w:szCs w:val="22"/>
        </w:rPr>
        <w:t>Do</w:t>
      </w:r>
      <w:r w:rsidR="007D1925" w:rsidRPr="007F1E62">
        <w:rPr>
          <w:rFonts w:asciiTheme="minorHAnsi" w:eastAsiaTheme="minorHAnsi" w:hAnsiTheme="minorHAnsi" w:cstheme="minorHAnsi"/>
          <w:color w:val="000000"/>
          <w:sz w:val="22"/>
          <w:szCs w:val="22"/>
        </w:rPr>
        <w:t>davatel dále ve smlouvě uvede:</w:t>
      </w:r>
    </w:p>
    <w:p w14:paraId="57713E55" w14:textId="77777777" w:rsidR="007D1925" w:rsidRPr="007F1E62" w:rsidRDefault="007D1925" w:rsidP="007F1E6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1434" w:hanging="357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7F1E62">
        <w:rPr>
          <w:rFonts w:asciiTheme="minorHAnsi" w:eastAsiaTheme="minorHAnsi" w:hAnsiTheme="minorHAnsi" w:cstheme="minorHAnsi"/>
          <w:color w:val="000000"/>
        </w:rPr>
        <w:t>Práva a povinnosti vyplývající z této smlouvy nelze bez souhlasu druhé smluvní strany převést na třetí stranu. Tato smlouva je za podmínek uvedených v předchozí větě tohoto odstavce závazná i pro případné právní nástupce smluvních stran.</w:t>
      </w:r>
    </w:p>
    <w:p w14:paraId="2E71361F" w14:textId="7EB79A7A" w:rsidR="007D1925" w:rsidRDefault="007D1925" w:rsidP="007F1E62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highlight w:val="yellow"/>
        </w:rPr>
      </w:pPr>
      <w:r w:rsidRPr="005C455E">
        <w:rPr>
          <w:rFonts w:asciiTheme="minorHAnsi" w:eastAsiaTheme="minorHAnsi" w:hAnsiTheme="minorHAnsi" w:cstheme="minorHAnsi"/>
          <w:color w:val="000000"/>
          <w:highlight w:val="yellow"/>
        </w:rPr>
        <w:t>Smlouvu lze měnit pouze po dohodě smluvních stran, která musí mít formu písemných, vzestupně číslovaných a datovaných dodatků, které musí být pod</w:t>
      </w:r>
      <w:r w:rsidR="0083355E">
        <w:rPr>
          <w:rFonts w:asciiTheme="minorHAnsi" w:eastAsiaTheme="minorHAnsi" w:hAnsiTheme="minorHAnsi" w:cstheme="minorHAnsi"/>
          <w:color w:val="000000"/>
          <w:highlight w:val="yellow"/>
        </w:rPr>
        <w:t>epsány oběma smluvními stranami</w:t>
      </w:r>
      <w:r w:rsidR="00610C76">
        <w:rPr>
          <w:rFonts w:asciiTheme="minorHAnsi" w:eastAsiaTheme="minorHAnsi" w:hAnsiTheme="minorHAnsi" w:cstheme="minorHAnsi"/>
          <w:color w:val="000000"/>
          <w:highlight w:val="yellow"/>
        </w:rPr>
        <w:t>. Dodavatel dále ve smlouvě uvede ujednání o rozsahu možných jednostranných změn a způsob jejich oznámení objednateli</w:t>
      </w:r>
      <w:r w:rsidR="006756EA">
        <w:rPr>
          <w:rFonts w:asciiTheme="minorHAnsi" w:eastAsiaTheme="minorHAnsi" w:hAnsiTheme="minorHAnsi" w:cstheme="minorHAnsi"/>
          <w:color w:val="000000"/>
          <w:highlight w:val="yellow"/>
        </w:rPr>
        <w:t>.</w:t>
      </w:r>
    </w:p>
    <w:p w14:paraId="483604AD" w14:textId="77777777" w:rsidR="007D1925" w:rsidRPr="007F1E62" w:rsidRDefault="007D1925" w:rsidP="007F1E62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7F1E62">
        <w:rPr>
          <w:rFonts w:asciiTheme="minorHAnsi" w:eastAsiaTheme="minorHAnsi" w:hAnsiTheme="minorHAnsi" w:cstheme="minorHAnsi"/>
          <w:color w:val="000000"/>
        </w:rPr>
        <w:t>Je-li nebo stane-li se některé ustanovení této smlouvy neplatné či neúčinné, nedotýká se to ostatních ustanovení této smlouvy, která zůstávají platná a účinná. Smluvní strany se v tomto případě zavazují nahradit neplatné/neúčinné ustanovení ustanovením platným/účinným, které nejlépe odpovídá původně zamýšlenému účelu ustanovení neplatného/neúčinného. Ukáže-li se některé ustanovení této smlouvy zdánlivým (nicotným), posoudí se vliv této vady na ostatní ustanovení smlouvy obdobně podle § 576 zákona č. 89/2012 Sb., občanský zákoník, ve znění pozdějších předpisů.</w:t>
      </w:r>
    </w:p>
    <w:p w14:paraId="45899763" w14:textId="219ACBFE" w:rsidR="00D92521" w:rsidRPr="007F1E62" w:rsidRDefault="007D1925" w:rsidP="007F1E62">
      <w:pPr>
        <w:pStyle w:val="Odstavecseseznamem"/>
        <w:numPr>
          <w:ilvl w:val="1"/>
          <w:numId w:val="2"/>
        </w:numPr>
        <w:tabs>
          <w:tab w:val="left" w:pos="5370"/>
        </w:tabs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asciiTheme="minorHAnsi" w:hAnsiTheme="minorHAnsi" w:cstheme="minorHAnsi"/>
        </w:rPr>
      </w:pPr>
      <w:r w:rsidRPr="007F1E62">
        <w:rPr>
          <w:rFonts w:asciiTheme="minorHAnsi" w:eastAsiaTheme="minorHAnsi" w:hAnsiTheme="minorHAnsi" w:cstheme="minorHAnsi"/>
          <w:color w:val="000000"/>
        </w:rPr>
        <w:t>Smlouva nabývá platnosti dnem jejího podpisu oběma smluvními stranami a účinnosti dnem uveřejnění v Registru smluv v souladu se zákonem č. 340/2015 Sb., o zvláštních podmínkách účinnosti některých smluv, uveřejňování těchto smluv a o registru smluv, ve znění pozdějších předpisů.</w:t>
      </w:r>
    </w:p>
    <w:sectPr w:rsidR="00D92521" w:rsidRPr="007F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0021B" w16cid:durableId="209F370C"/>
  <w16cid:commentId w16cid:paraId="1E0D7876" w16cid:durableId="209F3BED"/>
  <w16cid:commentId w16cid:paraId="05D3189F" w16cid:durableId="209F3788"/>
  <w16cid:commentId w16cid:paraId="0D8B8E1B" w16cid:durableId="20A39A94"/>
  <w16cid:commentId w16cid:paraId="0E643666" w16cid:durableId="209F37AB"/>
  <w16cid:commentId w16cid:paraId="03A4B253" w16cid:durableId="20A39A96"/>
  <w16cid:commentId w16cid:paraId="5C52E3AC" w16cid:durableId="20A39A97"/>
  <w16cid:commentId w16cid:paraId="3587A818" w16cid:durableId="209F3883"/>
  <w16cid:commentId w16cid:paraId="30486DAC" w16cid:durableId="209F3832"/>
  <w16cid:commentId w16cid:paraId="6C90EFA0" w16cid:durableId="20A39A9A"/>
  <w16cid:commentId w16cid:paraId="65A427DD" w16cid:durableId="209F38E3"/>
  <w16cid:commentId w16cid:paraId="7686AF93" w16cid:durableId="20A39A9C"/>
  <w16cid:commentId w16cid:paraId="377D7BE7" w16cid:durableId="20A3A2A8"/>
  <w16cid:commentId w16cid:paraId="659A34F5" w16cid:durableId="209F3B57"/>
  <w16cid:commentId w16cid:paraId="3F5D172D" w16cid:durableId="20A39A9E"/>
  <w16cid:commentId w16cid:paraId="01978CD4" w16cid:durableId="20A3A336"/>
  <w16cid:commentId w16cid:paraId="67EE7584" w16cid:durableId="209F3B40"/>
  <w16cid:commentId w16cid:paraId="3DBAE3EA" w16cid:durableId="20A39A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2FA4"/>
    <w:multiLevelType w:val="hybridMultilevel"/>
    <w:tmpl w:val="484C1D4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E108C"/>
    <w:multiLevelType w:val="hybridMultilevel"/>
    <w:tmpl w:val="E9167A08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158EE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E4E99AA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 w:tplc="1264F482">
      <w:start w:val="7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4038"/>
    <w:multiLevelType w:val="hybridMultilevel"/>
    <w:tmpl w:val="D952AC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06558D"/>
    <w:multiLevelType w:val="hybridMultilevel"/>
    <w:tmpl w:val="82989D0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1"/>
    <w:rsid w:val="000329B7"/>
    <w:rsid w:val="0003349C"/>
    <w:rsid w:val="00043A91"/>
    <w:rsid w:val="00043BF0"/>
    <w:rsid w:val="000A6592"/>
    <w:rsid w:val="000C12A3"/>
    <w:rsid w:val="00103BA2"/>
    <w:rsid w:val="00143FA4"/>
    <w:rsid w:val="00174899"/>
    <w:rsid w:val="002110EA"/>
    <w:rsid w:val="00266437"/>
    <w:rsid w:val="0027667E"/>
    <w:rsid w:val="00283348"/>
    <w:rsid w:val="002D261C"/>
    <w:rsid w:val="0031581D"/>
    <w:rsid w:val="003462E9"/>
    <w:rsid w:val="00361A6F"/>
    <w:rsid w:val="003A522B"/>
    <w:rsid w:val="003C461D"/>
    <w:rsid w:val="003E1B3A"/>
    <w:rsid w:val="00533D9D"/>
    <w:rsid w:val="00586D9C"/>
    <w:rsid w:val="005974EB"/>
    <w:rsid w:val="005A37BB"/>
    <w:rsid w:val="005C3B16"/>
    <w:rsid w:val="005C455E"/>
    <w:rsid w:val="00601311"/>
    <w:rsid w:val="00610C76"/>
    <w:rsid w:val="00643F42"/>
    <w:rsid w:val="00657FB1"/>
    <w:rsid w:val="006756EA"/>
    <w:rsid w:val="006B7C74"/>
    <w:rsid w:val="006F7CC4"/>
    <w:rsid w:val="007D1925"/>
    <w:rsid w:val="007E672A"/>
    <w:rsid w:val="007F0E24"/>
    <w:rsid w:val="007F1E62"/>
    <w:rsid w:val="0083355E"/>
    <w:rsid w:val="00867821"/>
    <w:rsid w:val="008C586B"/>
    <w:rsid w:val="00921365"/>
    <w:rsid w:val="00923EC5"/>
    <w:rsid w:val="00965E97"/>
    <w:rsid w:val="009B6B87"/>
    <w:rsid w:val="009C75DA"/>
    <w:rsid w:val="009D6001"/>
    <w:rsid w:val="00A244AD"/>
    <w:rsid w:val="00A35F62"/>
    <w:rsid w:val="00A57A57"/>
    <w:rsid w:val="00AA31C4"/>
    <w:rsid w:val="00AB4ECA"/>
    <w:rsid w:val="00AC6270"/>
    <w:rsid w:val="00B404DD"/>
    <w:rsid w:val="00B867F5"/>
    <w:rsid w:val="00BB17DC"/>
    <w:rsid w:val="00BC701B"/>
    <w:rsid w:val="00BF5EF3"/>
    <w:rsid w:val="00C305F0"/>
    <w:rsid w:val="00C3653D"/>
    <w:rsid w:val="00C46D87"/>
    <w:rsid w:val="00D40C36"/>
    <w:rsid w:val="00D72F51"/>
    <w:rsid w:val="00D92521"/>
    <w:rsid w:val="00DA4570"/>
    <w:rsid w:val="00DF6197"/>
    <w:rsid w:val="00E8032B"/>
    <w:rsid w:val="00EA246A"/>
    <w:rsid w:val="00ED13FD"/>
    <w:rsid w:val="00EE7659"/>
    <w:rsid w:val="00F11BB2"/>
    <w:rsid w:val="00F3796B"/>
    <w:rsid w:val="00F41379"/>
    <w:rsid w:val="00F47FE6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2D5C"/>
  <w15:docId w15:val="{399A3545-6752-4C93-9F04-9DB01900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52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Nad"/>
    <w:basedOn w:val="Normln"/>
    <w:link w:val="OdstavecseseznamemChar"/>
    <w:uiPriority w:val="34"/>
    <w:qFormat/>
    <w:rsid w:val="00D925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"/>
    <w:link w:val="Odstavecseseznamem"/>
    <w:uiPriority w:val="34"/>
    <w:rsid w:val="00D9252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659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6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67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7F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7F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1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2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525-A5BD-40EA-962C-5BC1DDE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Pernicova Martina</dc:creator>
  <cp:lastModifiedBy>Účet Microsoft</cp:lastModifiedBy>
  <cp:revision>2</cp:revision>
  <cp:lastPrinted>2021-03-18T14:04:00Z</cp:lastPrinted>
  <dcterms:created xsi:type="dcterms:W3CDTF">2021-03-18T14:34:00Z</dcterms:created>
  <dcterms:modified xsi:type="dcterms:W3CDTF">2021-03-18T14:34:00Z</dcterms:modified>
</cp:coreProperties>
</file>