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00" w:rsidRPr="001C5D00" w:rsidRDefault="001C5D00" w:rsidP="001C5D00">
      <w:pPr>
        <w:pStyle w:val="RLProhlensmluvnchstran"/>
        <w:rPr>
          <w:rFonts w:asciiTheme="minorHAnsi" w:hAnsiTheme="minorHAnsi" w:cstheme="minorHAnsi"/>
          <w:b w:val="0"/>
          <w:sz w:val="24"/>
        </w:rPr>
      </w:pPr>
      <w:bookmarkStart w:id="0" w:name="Annex01"/>
      <w:r w:rsidRPr="001C5D00">
        <w:rPr>
          <w:rFonts w:asciiTheme="minorHAnsi" w:hAnsiTheme="minorHAnsi" w:cstheme="minorHAnsi"/>
          <w:b w:val="0"/>
          <w:sz w:val="24"/>
        </w:rPr>
        <w:t xml:space="preserve">Příloha č. </w:t>
      </w:r>
      <w:bookmarkEnd w:id="0"/>
      <w:r w:rsidRPr="001C5D00">
        <w:rPr>
          <w:rFonts w:asciiTheme="minorHAnsi" w:hAnsiTheme="minorHAnsi" w:cstheme="minorHAnsi"/>
          <w:b w:val="0"/>
          <w:sz w:val="24"/>
        </w:rPr>
        <w:t>3 zadávací dokumentace</w:t>
      </w:r>
    </w:p>
    <w:p w:rsidR="001C5D00" w:rsidRPr="001C5D00" w:rsidRDefault="001C5D00" w:rsidP="001C5D00">
      <w:pPr>
        <w:pStyle w:val="Default"/>
        <w:rPr>
          <w:rFonts w:asciiTheme="minorHAnsi" w:hAnsiTheme="minorHAnsi" w:cstheme="minorHAnsi"/>
        </w:rPr>
      </w:pPr>
    </w:p>
    <w:p w:rsidR="001C5D00" w:rsidRPr="001C5D00" w:rsidRDefault="001C5D00" w:rsidP="001C5D00">
      <w:pPr>
        <w:pStyle w:val="Default"/>
        <w:spacing w:after="24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C5D00">
        <w:rPr>
          <w:rFonts w:asciiTheme="minorHAnsi" w:hAnsiTheme="minorHAnsi" w:cstheme="minorHAnsi"/>
          <w:b/>
          <w:bCs/>
          <w:sz w:val="32"/>
          <w:szCs w:val="32"/>
        </w:rPr>
        <w:t>Přehled dokumentace</w:t>
      </w:r>
    </w:p>
    <w:p w:rsidR="001C5D00" w:rsidRPr="001C5D00" w:rsidRDefault="001C5D00" w:rsidP="001C5D00">
      <w:pPr>
        <w:pStyle w:val="Default"/>
        <w:spacing w:after="240" w:line="276" w:lineRule="auto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 xml:space="preserve">Dokumenty vymezené v rámci této přílohy přímo souvisí s plněním veřejné zakázky, a proto zadavatel informuje uchazeče o celkovém rozsahu dokumentace. Uvedená dokumentace bude v souladu s § 36 odst. 8 ZZVZ poskytnuta oproti podpisu Dohody o ochraně důvěrných informací, jak je uvedeno v odst. 1.2 Zadávací dokumentace, není–li výslovně uvedeno jinak. </w:t>
      </w:r>
    </w:p>
    <w:p w:rsidR="001C5D00" w:rsidRPr="001C5D00" w:rsidRDefault="001C5D00" w:rsidP="001C5D00">
      <w:pPr>
        <w:pStyle w:val="RLProhlensmluvnchstran"/>
        <w:jc w:val="left"/>
        <w:rPr>
          <w:rFonts w:asciiTheme="minorHAnsi" w:hAnsiTheme="minorHAnsi" w:cstheme="minorHAnsi"/>
          <w:b w:val="0"/>
          <w:sz w:val="24"/>
        </w:rPr>
      </w:pPr>
      <w:r w:rsidRPr="001C5D00">
        <w:rPr>
          <w:rFonts w:asciiTheme="minorHAnsi" w:hAnsiTheme="minorHAnsi" w:cstheme="minorHAnsi"/>
          <w:b w:val="0"/>
          <w:sz w:val="24"/>
        </w:rPr>
        <w:t>Důvěrné informace jsou obsaženy v níže uvedených dokumentech:</w:t>
      </w:r>
    </w:p>
    <w:p w:rsidR="001C5D00" w:rsidRPr="001C5D00" w:rsidRDefault="001C5D00" w:rsidP="00666308">
      <w:pPr>
        <w:pStyle w:val="RLProhlensmluvnchstran"/>
        <w:spacing w:after="0"/>
        <w:jc w:val="left"/>
        <w:rPr>
          <w:rFonts w:asciiTheme="minorHAnsi" w:hAnsiTheme="minorHAnsi" w:cstheme="minorHAnsi"/>
          <w:b w:val="0"/>
          <w:sz w:val="24"/>
        </w:rPr>
      </w:pPr>
    </w:p>
    <w:p w:rsidR="001C5D00" w:rsidRPr="001C5D00" w:rsidRDefault="001C5D00" w:rsidP="001C5D00">
      <w:pPr>
        <w:pStyle w:val="Nadpis1"/>
        <w:rPr>
          <w:i/>
        </w:rPr>
      </w:pPr>
      <w:r w:rsidRPr="001C5D00">
        <w:t xml:space="preserve">Interní dokumentace dle čl. 9 závazného návrhu Smlouvy </w:t>
      </w:r>
    </w:p>
    <w:p w:rsidR="001C5D00" w:rsidRPr="001C5D00" w:rsidRDefault="001C5D00" w:rsidP="001C5D00">
      <w:pPr>
        <w:pStyle w:val="Nadpis2"/>
        <w:rPr>
          <w:szCs w:val="26"/>
        </w:rPr>
      </w:pPr>
      <w:r w:rsidRPr="001C5D00">
        <w:rPr>
          <w:szCs w:val="26"/>
        </w:rPr>
        <w:t>Bezpečnost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SRBI Směrnice k řízení bezpečnosti informací MZe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SSRD ISMS Směrnice k systému řízení dokumentace ISMS MZe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SKRA Směrnice ke klasifikaci a řízení aktiv MZe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SBLZ Směrnice k bezpečnosti lidských zdrojů MZe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SFBBP Směrnice k fyzické bezpečnosti a bezpečnosti prostředí MZe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BIT Směrnice k řízení bezpečnosti informačních a komunikačních technologií MZe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SSI Směrnice ke správě incidentů MZe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SRK Směrnice pro řízení kontinuity činností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SZSBP Směrnice k zajištění shody s bezpečnostními požadavky MZe</w:t>
      </w:r>
    </w:p>
    <w:p w:rsidR="00BF0B3E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SHR Směrnice pro hodnocení rizik kybernetické bezpečnosti</w:t>
      </w:r>
    </w:p>
    <w:p w:rsidR="00BF0B3E" w:rsidRPr="00817008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425C5E">
        <w:t>SBBP_Směrnice pro budová</w:t>
      </w:r>
      <w:r>
        <w:t>ní bezpečnostního povědomí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SPZD Slovník pojmů a zkratek MZe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VZ ISMS Vzory a záznamy MZe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ZSBIU Základní směrnice bezpečnosti informací pro uživatele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BPI Bezpečnostní politika informací MZe</w:t>
      </w:r>
    </w:p>
    <w:p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SSB</w:t>
      </w:r>
      <w:r>
        <w:t xml:space="preserve"> </w:t>
      </w:r>
      <w:r w:rsidRPr="00EB6C92">
        <w:t>Standard systémové bezpečnosti</w:t>
      </w:r>
    </w:p>
    <w:p w:rsidR="00BF0B3E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Správa a monitoring privilegovaných účtů – PIM - Uživatelská dokumentace</w:t>
      </w:r>
    </w:p>
    <w:p w:rsidR="00BF0B3E" w:rsidRPr="0097468E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97468E">
        <w:t>Metodický_pokyn_k_nastaveni_serverů_pro_PIM</w:t>
      </w:r>
    </w:p>
    <w:p w:rsidR="00BF0B3E" w:rsidRPr="0097468E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97468E">
        <w:t>Metodický pokyn k užívání přístupových serverů MZe</w:t>
      </w:r>
    </w:p>
    <w:p w:rsidR="00BF0B3E" w:rsidRPr="0097468E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97468E">
        <w:t>Standard k zajištění bezpečnostního monitoringu ICT-v2_0</w:t>
      </w:r>
    </w:p>
    <w:p w:rsidR="00BF0B3E" w:rsidRPr="0097468E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97468E">
        <w:t>Metodický_pokyn_k_nastaveni_serverů_pro_SIEM-v1</w:t>
      </w:r>
    </w:p>
    <w:p w:rsidR="00BF0B3E" w:rsidRPr="0097468E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97468E">
        <w:t>Metodický pokyn k předávání přístupových údajů</w:t>
      </w:r>
    </w:p>
    <w:p w:rsidR="00BF0B3E" w:rsidRPr="0097468E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97468E">
        <w:t>Minimální požadavky na kryptografické prostředky – aktuální dokument:  (https://www.nukib.cz/download/uredni_deska/Kryptograficke_prostredky_doporuceni_v1.0.pdf)</w:t>
      </w:r>
    </w:p>
    <w:p w:rsidR="001C5D00" w:rsidRDefault="001C5D00" w:rsidP="00BF0B3E">
      <w:pPr>
        <w:spacing w:after="0" w:line="240" w:lineRule="auto"/>
        <w:ind w:left="1208"/>
        <w:jc w:val="both"/>
        <w:rPr>
          <w:rFonts w:asciiTheme="minorHAnsi" w:hAnsiTheme="minorHAnsi" w:cstheme="minorHAnsi"/>
        </w:rPr>
      </w:pPr>
    </w:p>
    <w:p w:rsidR="00666308" w:rsidRPr="001C5D00" w:rsidRDefault="00666308" w:rsidP="00666308">
      <w:pPr>
        <w:spacing w:after="0" w:line="240" w:lineRule="auto"/>
        <w:ind w:left="1208"/>
        <w:jc w:val="both"/>
        <w:rPr>
          <w:rFonts w:asciiTheme="minorHAnsi" w:hAnsiTheme="minorHAnsi" w:cstheme="minorHAnsi"/>
        </w:rPr>
      </w:pPr>
    </w:p>
    <w:p w:rsidR="001C5D00" w:rsidRPr="001C5D00" w:rsidRDefault="001C5D00" w:rsidP="001C5D00">
      <w:pPr>
        <w:pStyle w:val="Nadpis2"/>
        <w:rPr>
          <w:szCs w:val="26"/>
        </w:rPr>
      </w:pPr>
      <w:r w:rsidRPr="001C5D00">
        <w:rPr>
          <w:szCs w:val="26"/>
        </w:rPr>
        <w:t>HelpDesk</w:t>
      </w:r>
    </w:p>
    <w:p w:rsidR="001C5D00" w:rsidRPr="00666308" w:rsidRDefault="001C5D00" w:rsidP="004C439F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  <w:b/>
        </w:rPr>
      </w:pPr>
      <w:r w:rsidRPr="001C5D00">
        <w:rPr>
          <w:rFonts w:asciiTheme="minorHAnsi" w:hAnsiTheme="minorHAnsi" w:cstheme="minorHAnsi"/>
        </w:rPr>
        <w:t>Spolupráce HD MZe</w:t>
      </w:r>
    </w:p>
    <w:p w:rsidR="00666308" w:rsidRDefault="00666308" w:rsidP="00666308">
      <w:pPr>
        <w:spacing w:after="0" w:line="240" w:lineRule="auto"/>
        <w:ind w:left="1208"/>
        <w:jc w:val="both"/>
        <w:rPr>
          <w:rFonts w:asciiTheme="minorHAnsi" w:hAnsiTheme="minorHAnsi" w:cstheme="minorHAnsi"/>
          <w:b/>
        </w:rPr>
      </w:pPr>
    </w:p>
    <w:p w:rsidR="001C5D00" w:rsidRPr="001C5D00" w:rsidRDefault="001C5D00" w:rsidP="001C5D00">
      <w:pPr>
        <w:pStyle w:val="Nadpis2"/>
        <w:rPr>
          <w:szCs w:val="26"/>
        </w:rPr>
      </w:pPr>
      <w:r w:rsidRPr="001C5D00">
        <w:rPr>
          <w:szCs w:val="26"/>
        </w:rPr>
        <w:lastRenderedPageBreak/>
        <w:t>ITSM procesy zadavatele</w:t>
      </w:r>
    </w:p>
    <w:p w:rsidR="001C5D00" w:rsidRPr="001C5D00" w:rsidRDefault="001C5D00" w:rsidP="00666308">
      <w:pPr>
        <w:pStyle w:val="Nadpis3"/>
        <w:spacing w:after="0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Release management</w:t>
      </w:r>
    </w:p>
    <w:p w:rsidR="001C5D00" w:rsidRPr="004C439F" w:rsidRDefault="001C5D00" w:rsidP="004C439F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 w:rsidRPr="004C439F">
        <w:rPr>
          <w:rFonts w:asciiTheme="minorHAnsi" w:hAnsiTheme="minorHAnsi" w:cstheme="minorHAnsi"/>
        </w:rPr>
        <w:t>Diagram</w:t>
      </w:r>
    </w:p>
    <w:p w:rsidR="001C5D00" w:rsidRPr="004C439F" w:rsidRDefault="001C5D00" w:rsidP="004C439F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 w:rsidRPr="004C439F">
        <w:rPr>
          <w:rFonts w:asciiTheme="minorHAnsi" w:hAnsiTheme="minorHAnsi" w:cstheme="minorHAnsi"/>
        </w:rPr>
        <w:t>Release plán</w:t>
      </w:r>
    </w:p>
    <w:p w:rsidR="001C5D00" w:rsidRPr="001C5D00" w:rsidRDefault="001C5D00" w:rsidP="004C439F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Detailní harmonogram název release</w:t>
      </w:r>
    </w:p>
    <w:p w:rsidR="001C5D00" w:rsidRPr="001C5D00" w:rsidRDefault="001C5D00" w:rsidP="004C439F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Proces</w:t>
      </w:r>
    </w:p>
    <w:p w:rsidR="001C5D00" w:rsidRPr="001C5D00" w:rsidRDefault="001C5D00" w:rsidP="004C439F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RTT plán</w:t>
      </w:r>
    </w:p>
    <w:p w:rsidR="001C5D00" w:rsidRPr="001C5D00" w:rsidRDefault="001C5D00" w:rsidP="004C439F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RTP plán</w:t>
      </w:r>
    </w:p>
    <w:p w:rsidR="001C5D00" w:rsidRPr="001C5D00" w:rsidRDefault="001C5D00" w:rsidP="00666308">
      <w:pPr>
        <w:pStyle w:val="Nadpis3"/>
        <w:spacing w:after="0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Problem management</w:t>
      </w:r>
    </w:p>
    <w:p w:rsidR="001C5D00" w:rsidRPr="001C5D00" w:rsidRDefault="001C5D00" w:rsidP="004C439F">
      <w:pPr>
        <w:numPr>
          <w:ilvl w:val="0"/>
          <w:numId w:val="6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 proces</w:t>
      </w:r>
    </w:p>
    <w:p w:rsidR="001C5D00" w:rsidRPr="001C5D00" w:rsidRDefault="001C5D00" w:rsidP="004C439F">
      <w:pPr>
        <w:numPr>
          <w:ilvl w:val="0"/>
          <w:numId w:val="6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Proces</w:t>
      </w:r>
    </w:p>
    <w:p w:rsidR="001C5D00" w:rsidRPr="001C5D00" w:rsidRDefault="001C5D00" w:rsidP="00666308">
      <w:pPr>
        <w:pStyle w:val="Nadpis3"/>
        <w:spacing w:after="0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Change management</w:t>
      </w:r>
    </w:p>
    <w:p w:rsidR="001C5D00" w:rsidRPr="001C5D00" w:rsidRDefault="001C5D00" w:rsidP="004C439F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Diagram-NCh</w:t>
      </w:r>
    </w:p>
    <w:p w:rsidR="001C5D00" w:rsidRPr="001C5D00" w:rsidRDefault="001C5D00" w:rsidP="004C439F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Diagram-UCh</w:t>
      </w:r>
    </w:p>
    <w:p w:rsidR="001C5D00" w:rsidRPr="001C5D00" w:rsidRDefault="001C5D00" w:rsidP="004C439F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Proces</w:t>
      </w:r>
    </w:p>
    <w:p w:rsidR="001C5D00" w:rsidRPr="001C5D00" w:rsidRDefault="001C5D00" w:rsidP="004C439F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Zadání dílčí analýzy</w:t>
      </w:r>
    </w:p>
    <w:p w:rsidR="001C5D00" w:rsidRPr="001C5D00" w:rsidRDefault="001C5D00" w:rsidP="004C439F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Priloha-1-RfC</w:t>
      </w:r>
    </w:p>
    <w:p w:rsidR="001C5D00" w:rsidRPr="001C5D00" w:rsidRDefault="001C5D00" w:rsidP="00666308">
      <w:pPr>
        <w:pStyle w:val="Nadpis3"/>
        <w:spacing w:after="0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Idea management</w:t>
      </w:r>
    </w:p>
    <w:p w:rsidR="001C5D00" w:rsidRPr="001C5D00" w:rsidRDefault="001C5D00" w:rsidP="004C439F">
      <w:pPr>
        <w:numPr>
          <w:ilvl w:val="0"/>
          <w:numId w:val="8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Proces</w:t>
      </w:r>
    </w:p>
    <w:p w:rsidR="001C5D00" w:rsidRPr="001C5D00" w:rsidRDefault="001C5D00" w:rsidP="004C439F">
      <w:pPr>
        <w:numPr>
          <w:ilvl w:val="0"/>
          <w:numId w:val="8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</w:t>
      </w:r>
    </w:p>
    <w:p w:rsidR="001C5D00" w:rsidRPr="001C5D00" w:rsidRDefault="001C5D00" w:rsidP="00666308">
      <w:pPr>
        <w:pStyle w:val="Nadpis3"/>
        <w:spacing w:after="0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Incident management</w:t>
      </w:r>
    </w:p>
    <w:p w:rsidR="001C5D00" w:rsidRPr="004C439F" w:rsidRDefault="001C5D00" w:rsidP="004C439F">
      <w:pPr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4C439F">
        <w:rPr>
          <w:rFonts w:asciiTheme="minorHAnsi" w:hAnsiTheme="minorHAnsi" w:cstheme="minorHAnsi"/>
        </w:rPr>
        <w:t>Proces</w:t>
      </w:r>
    </w:p>
    <w:p w:rsidR="001C5D00" w:rsidRPr="001C5D00" w:rsidRDefault="001C5D00" w:rsidP="004C439F">
      <w:pPr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 proces</w:t>
      </w:r>
    </w:p>
    <w:p w:rsidR="001C5D00" w:rsidRPr="001C5D00" w:rsidRDefault="001C5D00" w:rsidP="00666308">
      <w:pPr>
        <w:pStyle w:val="Nadpis3"/>
        <w:spacing w:after="0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Request fulfilment</w:t>
      </w:r>
    </w:p>
    <w:p w:rsidR="001C5D00" w:rsidRPr="001C5D00" w:rsidRDefault="001C5D00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Diagram-přístup</w:t>
      </w:r>
    </w:p>
    <w:p w:rsidR="001C5D00" w:rsidRPr="001C5D00" w:rsidRDefault="001C5D00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Diagram-reset-hesla</w:t>
      </w:r>
    </w:p>
    <w:p w:rsidR="001C5D00" w:rsidRPr="001C5D00" w:rsidRDefault="001C5D00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Diagram-informace</w:t>
      </w:r>
    </w:p>
    <w:p w:rsidR="001C5D00" w:rsidRPr="001C5D00" w:rsidRDefault="001C5D00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Diagram-konfigurace</w:t>
      </w:r>
    </w:p>
    <w:p w:rsidR="001C5D00" w:rsidRPr="001C5D00" w:rsidRDefault="001C5D00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Diagram-HW</w:t>
      </w:r>
    </w:p>
    <w:p w:rsidR="001C5D00" w:rsidRPr="001C5D00" w:rsidRDefault="001C5D00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Diagram-SW</w:t>
      </w:r>
    </w:p>
    <w:p w:rsidR="001C5D00" w:rsidRPr="001C5D00" w:rsidRDefault="001C5D00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Diagram-Nákup</w:t>
      </w:r>
    </w:p>
    <w:p w:rsidR="001C5D00" w:rsidRPr="001C5D00" w:rsidRDefault="001C5D00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Proces</w:t>
      </w:r>
    </w:p>
    <w:p w:rsidR="001C5D00" w:rsidRPr="001C5D00" w:rsidRDefault="001C5D00" w:rsidP="00666308">
      <w:pPr>
        <w:pStyle w:val="Nadpis3"/>
        <w:spacing w:after="0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Validation and Testing</w:t>
      </w:r>
    </w:p>
    <w:p w:rsidR="001C5D00" w:rsidRPr="001C5D00" w:rsidRDefault="001C5D00" w:rsidP="004C439F">
      <w:pPr>
        <w:numPr>
          <w:ilvl w:val="0"/>
          <w:numId w:val="10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Legenda</w:t>
      </w:r>
    </w:p>
    <w:p w:rsidR="001C5D00" w:rsidRPr="001C5D00" w:rsidRDefault="001C5D00" w:rsidP="004C439F">
      <w:pPr>
        <w:numPr>
          <w:ilvl w:val="0"/>
          <w:numId w:val="10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Vypořádání neshod Diagram</w:t>
      </w:r>
    </w:p>
    <w:p w:rsidR="001C5D00" w:rsidRPr="001C5D00" w:rsidRDefault="001C5D00" w:rsidP="004C439F">
      <w:pPr>
        <w:numPr>
          <w:ilvl w:val="0"/>
          <w:numId w:val="10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Řízení neshod Diagram</w:t>
      </w:r>
    </w:p>
    <w:p w:rsidR="001C5D00" w:rsidRPr="001C5D00" w:rsidRDefault="001C5D00" w:rsidP="004C439F">
      <w:pPr>
        <w:numPr>
          <w:ilvl w:val="0"/>
          <w:numId w:val="10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Diagram</w:t>
      </w:r>
    </w:p>
    <w:p w:rsidR="001C5D00" w:rsidRPr="001C5D00" w:rsidRDefault="001C5D00" w:rsidP="004C439F">
      <w:pPr>
        <w:numPr>
          <w:ilvl w:val="0"/>
          <w:numId w:val="10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Proces</w:t>
      </w:r>
    </w:p>
    <w:p w:rsidR="001C5D00" w:rsidRPr="001C5D00" w:rsidRDefault="001C5D00" w:rsidP="001C5D00">
      <w:pPr>
        <w:pStyle w:val="Nadpis2"/>
        <w:rPr>
          <w:szCs w:val="26"/>
        </w:rPr>
      </w:pPr>
      <w:r w:rsidRPr="001C5D00">
        <w:rPr>
          <w:szCs w:val="26"/>
        </w:rPr>
        <w:lastRenderedPageBreak/>
        <w:t>Ostatní metodiky a směrnice</w:t>
      </w:r>
    </w:p>
    <w:p w:rsidR="001C5D00" w:rsidRPr="004C439F" w:rsidRDefault="001C5D00" w:rsidP="004C439F">
      <w:pPr>
        <w:numPr>
          <w:ilvl w:val="0"/>
          <w:numId w:val="12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4C439F">
        <w:rPr>
          <w:rFonts w:asciiTheme="minorHAnsi" w:hAnsiTheme="minorHAnsi" w:cstheme="minorHAnsi"/>
        </w:rPr>
        <w:t>Metodický pokyn k užívání přístupových serverů MZe</w:t>
      </w:r>
    </w:p>
    <w:p w:rsidR="001C5D00" w:rsidRPr="001C5D00" w:rsidRDefault="001C5D00" w:rsidP="004C439F">
      <w:pPr>
        <w:numPr>
          <w:ilvl w:val="0"/>
          <w:numId w:val="12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Požadavky na dokumentaci</w:t>
      </w:r>
    </w:p>
    <w:p w:rsidR="001C5D00" w:rsidRPr="001C5D00" w:rsidRDefault="001C5D00" w:rsidP="004C439F">
      <w:pPr>
        <w:numPr>
          <w:ilvl w:val="0"/>
          <w:numId w:val="12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 xml:space="preserve">Metodika modelování architektury </w:t>
      </w:r>
    </w:p>
    <w:p w:rsidR="001C5D00" w:rsidRPr="001C5D00" w:rsidRDefault="001C5D00" w:rsidP="004C439F">
      <w:pPr>
        <w:numPr>
          <w:ilvl w:val="0"/>
          <w:numId w:val="12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Agrisource - příručka dodavatele</w:t>
      </w:r>
    </w:p>
    <w:p w:rsidR="001C5D00" w:rsidRPr="001C5D00" w:rsidRDefault="001C5D00" w:rsidP="00666308">
      <w:pPr>
        <w:pStyle w:val="Nadpis1"/>
        <w:spacing w:after="0"/>
        <w:rPr>
          <w:i/>
        </w:rPr>
      </w:pPr>
      <w:r w:rsidRPr="001C5D00">
        <w:t xml:space="preserve">Testovací scénáře dle čl. </w:t>
      </w:r>
      <w:r w:rsidR="004C439F">
        <w:t>10</w:t>
      </w:r>
      <w:r w:rsidRPr="001C5D00">
        <w:t xml:space="preserve"> závazného návrhu Smlouvy</w:t>
      </w:r>
    </w:p>
    <w:p w:rsidR="004C439F" w:rsidRPr="00820DD9" w:rsidRDefault="004C439F" w:rsidP="004C439F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820DD9">
        <w:t>Přehled testovacích scénářů</w:t>
      </w:r>
    </w:p>
    <w:p w:rsidR="005A258B" w:rsidRDefault="001C5D00" w:rsidP="001F19B6">
      <w:pPr>
        <w:pStyle w:val="Nadpis1"/>
        <w:spacing w:after="0"/>
      </w:pPr>
      <w:r w:rsidRPr="001C5D00">
        <w:t xml:space="preserve">Dokumentace k systémům 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bookmarkStart w:id="1" w:name="_GoBack"/>
      <w:r>
        <w:rPr>
          <w:lang w:val="cs-CZ"/>
        </w:rPr>
        <w:t>Aplikační servery, aplikace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Citrix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CMDB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HW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LDAP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Linux, Unix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MS Exchange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MS SQL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Network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Oracle DB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Oracle VM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San disk, Pole, NAS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Sharepoint 2016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SSO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Testovací prostředí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Vmware</w:t>
      </w:r>
    </w:p>
    <w:p w:rsid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Windows</w:t>
      </w:r>
    </w:p>
    <w:p w:rsidR="00102797" w:rsidRPr="00102797" w:rsidRDefault="00102797" w:rsidP="00102797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Zálohování</w:t>
      </w:r>
      <w:bookmarkEnd w:id="1"/>
    </w:p>
    <w:sectPr w:rsidR="00102797" w:rsidRPr="00102797" w:rsidSect="002C5B08">
      <w:headerReference w:type="default" r:id="rId7"/>
      <w:footerReference w:type="default" r:id="rId8"/>
      <w:pgSz w:w="11906" w:h="16838"/>
      <w:pgMar w:top="1021" w:right="794" w:bottom="1021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30" w:rsidRDefault="004C2A30" w:rsidP="001C5D00">
      <w:pPr>
        <w:spacing w:after="0" w:line="240" w:lineRule="auto"/>
      </w:pPr>
      <w:r>
        <w:separator/>
      </w:r>
    </w:p>
  </w:endnote>
  <w:endnote w:type="continuationSeparator" w:id="0">
    <w:p w:rsidR="004C2A30" w:rsidRDefault="004C2A30" w:rsidP="001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08" w:rsidRDefault="00666308" w:rsidP="0066054D">
    <w:pPr>
      <w:pStyle w:val="Zpat"/>
      <w:jc w:val="center"/>
      <w:rPr>
        <w:sz w:val="16"/>
        <w:szCs w:val="16"/>
      </w:rPr>
    </w:pPr>
  </w:p>
  <w:p w:rsidR="00236861" w:rsidRPr="0066054D" w:rsidRDefault="004C2A30" w:rsidP="0066054D">
    <w:pPr>
      <w:pStyle w:val="Zpat"/>
      <w:jc w:val="center"/>
      <w:rPr>
        <w:sz w:val="16"/>
        <w:szCs w:val="16"/>
      </w:rPr>
    </w:pPr>
    <w:r w:rsidRPr="0066054D">
      <w:rPr>
        <w:sz w:val="16"/>
        <w:szCs w:val="16"/>
      </w:rPr>
      <w:t xml:space="preserve">Strana </w:t>
    </w:r>
    <w:r w:rsidRPr="0066054D">
      <w:rPr>
        <w:rStyle w:val="slostrnky"/>
        <w:sz w:val="16"/>
        <w:szCs w:val="16"/>
      </w:rPr>
      <w:fldChar w:fldCharType="begin"/>
    </w:r>
    <w:r w:rsidRPr="0066054D">
      <w:rPr>
        <w:rStyle w:val="slostrnky"/>
        <w:sz w:val="16"/>
        <w:szCs w:val="16"/>
      </w:rPr>
      <w:instrText xml:space="preserve"> PAGE </w:instrText>
    </w:r>
    <w:r w:rsidRPr="0066054D">
      <w:rPr>
        <w:rStyle w:val="slostrnky"/>
        <w:sz w:val="16"/>
        <w:szCs w:val="16"/>
      </w:rPr>
      <w:fldChar w:fldCharType="separate"/>
    </w:r>
    <w:r w:rsidR="00102797">
      <w:rPr>
        <w:rStyle w:val="slostrnky"/>
        <w:noProof/>
        <w:sz w:val="16"/>
        <w:szCs w:val="16"/>
      </w:rPr>
      <w:t>3</w:t>
    </w:r>
    <w:r w:rsidRPr="0066054D">
      <w:rPr>
        <w:rStyle w:val="slostrnky"/>
        <w:sz w:val="16"/>
        <w:szCs w:val="16"/>
      </w:rPr>
      <w:fldChar w:fldCharType="end"/>
    </w:r>
    <w:r w:rsidRPr="0066054D">
      <w:rPr>
        <w:rStyle w:val="slostrnky"/>
        <w:sz w:val="16"/>
        <w:szCs w:val="16"/>
      </w:rPr>
      <w:t xml:space="preserve"> / </w:t>
    </w:r>
    <w:r w:rsidRPr="0066054D">
      <w:rPr>
        <w:sz w:val="16"/>
        <w:szCs w:val="16"/>
      </w:rPr>
      <w:fldChar w:fldCharType="begin"/>
    </w:r>
    <w:r w:rsidRPr="0066054D">
      <w:rPr>
        <w:sz w:val="16"/>
        <w:szCs w:val="16"/>
      </w:rPr>
      <w:instrText xml:space="preserve"> SECTIONPAGES  \* Arabic  \* MERGEFORMAT </w:instrText>
    </w:r>
    <w:r w:rsidRPr="0066054D">
      <w:rPr>
        <w:sz w:val="16"/>
        <w:szCs w:val="16"/>
      </w:rPr>
      <w:fldChar w:fldCharType="separate"/>
    </w:r>
    <w:r w:rsidR="00102797">
      <w:rPr>
        <w:noProof/>
        <w:sz w:val="16"/>
        <w:szCs w:val="16"/>
      </w:rPr>
      <w:t>3</w:t>
    </w:r>
    <w:r w:rsidRPr="006605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30" w:rsidRDefault="004C2A30" w:rsidP="001C5D00">
      <w:pPr>
        <w:spacing w:after="0" w:line="240" w:lineRule="auto"/>
      </w:pPr>
      <w:r>
        <w:separator/>
      </w:r>
    </w:p>
  </w:footnote>
  <w:footnote w:type="continuationSeparator" w:id="0">
    <w:p w:rsidR="004C2A30" w:rsidRDefault="004C2A30" w:rsidP="001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1" w:rsidRPr="0066054D" w:rsidRDefault="00102797" w:rsidP="00B942D5">
    <w:pPr>
      <w:pStyle w:val="Zhlav"/>
      <w:tabs>
        <w:tab w:val="clear" w:pos="4536"/>
        <w:tab w:val="clear" w:pos="9072"/>
        <w:tab w:val="left" w:pos="1455"/>
      </w:tabs>
      <w:rPr>
        <w:sz w:val="16"/>
        <w:szCs w:val="16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B67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4F1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1915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23D"/>
    <w:multiLevelType w:val="multilevel"/>
    <w:tmpl w:val="C49E5A8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46731B"/>
    <w:multiLevelType w:val="hybridMultilevel"/>
    <w:tmpl w:val="D004C22C"/>
    <w:lvl w:ilvl="0" w:tplc="46886388">
      <w:start w:val="1"/>
      <w:numFmt w:val="lowerLetter"/>
      <w:lvlText w:val="%1)"/>
      <w:lvlJc w:val="left"/>
      <w:pPr>
        <w:ind w:left="1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5" w15:restartNumberingAfterBreak="0">
    <w:nsid w:val="352E6D3B"/>
    <w:multiLevelType w:val="hybridMultilevel"/>
    <w:tmpl w:val="6CF21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2B2D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F06D4"/>
    <w:multiLevelType w:val="hybridMultilevel"/>
    <w:tmpl w:val="3CF03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60D1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6B08"/>
    <w:multiLevelType w:val="hybridMultilevel"/>
    <w:tmpl w:val="2C901874"/>
    <w:lvl w:ilvl="0" w:tplc="486014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67E43"/>
    <w:multiLevelType w:val="hybridMultilevel"/>
    <w:tmpl w:val="C614AAB8"/>
    <w:lvl w:ilvl="0" w:tplc="01F80298">
      <w:start w:val="1"/>
      <w:numFmt w:val="lowerLetter"/>
      <w:lvlText w:val="%1)"/>
      <w:lvlJc w:val="left"/>
      <w:pPr>
        <w:ind w:left="1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1" w15:restartNumberingAfterBreak="0">
    <w:nsid w:val="6AE229E7"/>
    <w:multiLevelType w:val="hybridMultilevel"/>
    <w:tmpl w:val="673E3DAC"/>
    <w:lvl w:ilvl="0" w:tplc="4CE0A2D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14609"/>
    <w:multiLevelType w:val="hybridMultilevel"/>
    <w:tmpl w:val="2D880F1A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E593C"/>
    <w:multiLevelType w:val="hybridMultilevel"/>
    <w:tmpl w:val="BBF07CCE"/>
    <w:lvl w:ilvl="0" w:tplc="57305100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num w:numId="1">
    <w:abstractNumId w:val="9"/>
  </w:num>
  <w:num w:numId="2">
    <w:abstractNumId w:val="3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00"/>
    <w:rsid w:val="00102797"/>
    <w:rsid w:val="001C49E5"/>
    <w:rsid w:val="001C5D00"/>
    <w:rsid w:val="00453DC7"/>
    <w:rsid w:val="004C2A30"/>
    <w:rsid w:val="004C439F"/>
    <w:rsid w:val="005A258B"/>
    <w:rsid w:val="00666308"/>
    <w:rsid w:val="009B522B"/>
    <w:rsid w:val="00BF0B3E"/>
    <w:rsid w:val="00D42DC5"/>
    <w:rsid w:val="00D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5800"/>
  <w15:chartTrackingRefBased/>
  <w15:docId w15:val="{B04EF3D8-FEE3-45A8-A565-F6958AB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D00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Nadpis1">
    <w:name w:val="heading 1"/>
    <w:next w:val="Normln"/>
    <w:link w:val="Nadpis1Char"/>
    <w:autoRedefine/>
    <w:uiPriority w:val="9"/>
    <w:qFormat/>
    <w:rsid w:val="001C5D00"/>
    <w:pPr>
      <w:numPr>
        <w:numId w:val="3"/>
      </w:numPr>
      <w:tabs>
        <w:tab w:val="left" w:pos="1320"/>
        <w:tab w:val="right" w:pos="9072"/>
      </w:tabs>
      <w:spacing w:before="240" w:after="240" w:line="240" w:lineRule="auto"/>
      <w:jc w:val="both"/>
      <w:outlineLvl w:val="0"/>
    </w:pPr>
    <w:rPr>
      <w:rFonts w:cstheme="minorHAnsi"/>
      <w:b/>
      <w:sz w:val="28"/>
      <w:szCs w:val="28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1C5D00"/>
    <w:pPr>
      <w:numPr>
        <w:ilvl w:val="1"/>
        <w:numId w:val="2"/>
      </w:numPr>
      <w:spacing w:before="120" w:after="120"/>
      <w:outlineLvl w:val="1"/>
    </w:pPr>
    <w:rPr>
      <w:sz w:val="26"/>
    </w:rPr>
  </w:style>
  <w:style w:type="paragraph" w:styleId="Nadpis3">
    <w:name w:val="heading 3"/>
    <w:basedOn w:val="Odstavecseseznamem"/>
    <w:next w:val="Normln"/>
    <w:link w:val="Nadpis3Char"/>
    <w:autoRedefine/>
    <w:uiPriority w:val="9"/>
    <w:unhideWhenUsed/>
    <w:qFormat/>
    <w:rsid w:val="00453DC7"/>
    <w:pPr>
      <w:numPr>
        <w:ilvl w:val="2"/>
        <w:numId w:val="3"/>
      </w:numPr>
      <w:spacing w:before="240" w:after="240" w:line="360" w:lineRule="auto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C49E5"/>
    <w:pPr>
      <w:keepNext/>
      <w:keepLines/>
      <w:numPr>
        <w:ilvl w:val="3"/>
        <w:numId w:val="1"/>
      </w:numPr>
      <w:spacing w:before="40" w:after="0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453DC7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C49E5"/>
    <w:rPr>
      <w:rFonts w:ascii="Calibri" w:eastAsia="Calibri" w:hAnsi="Calibri" w:cs="Times New Roman"/>
      <w:b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1C5D00"/>
    <w:rPr>
      <w:rFonts w:cstheme="minorHAnsi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C5D00"/>
    <w:rPr>
      <w:rFonts w:cstheme="minorHAnsi"/>
      <w:b/>
      <w:sz w:val="26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1C49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75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756A"/>
    <w:rPr>
      <w:rFonts w:eastAsiaTheme="minorEastAsia"/>
      <w:color w:val="5A5A5A" w:themeColor="text1" w:themeTint="A5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1C49E5"/>
    <w:rPr>
      <w:rFonts w:ascii="Calibri" w:eastAsiaTheme="majorEastAsia" w:hAnsi="Calibri" w:cstheme="majorBidi"/>
      <w:b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1C49E5"/>
    <w:pPr>
      <w:ind w:left="720"/>
      <w:contextualSpacing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453DC7"/>
    <w:pPr>
      <w:spacing w:after="0" w:line="240" w:lineRule="auto"/>
      <w:contextualSpacing/>
      <w:jc w:val="both"/>
    </w:pPr>
    <w:rPr>
      <w:rFonts w:eastAsiaTheme="majorEastAsia" w:cstheme="majorBidi"/>
      <w:b/>
      <w:caps/>
      <w:color w:val="C9E305"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3DC7"/>
    <w:rPr>
      <w:rFonts w:eastAsiaTheme="majorEastAsia" w:cstheme="majorBidi"/>
      <w:b/>
      <w:caps/>
      <w:color w:val="C9E305"/>
      <w:spacing w:val="-10"/>
      <w:kern w:val="28"/>
      <w:sz w:val="36"/>
      <w:szCs w:val="56"/>
    </w:rPr>
  </w:style>
  <w:style w:type="paragraph" w:styleId="Zpat">
    <w:name w:val="footer"/>
    <w:basedOn w:val="Normln"/>
    <w:link w:val="ZpatChar"/>
    <w:uiPriority w:val="99"/>
    <w:unhideWhenUsed/>
    <w:rsid w:val="001C5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D00"/>
    <w:rPr>
      <w:rFonts w:ascii="Calibri" w:eastAsia="Calibri" w:hAnsi="Calibri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nhideWhenUsed/>
    <w:rsid w:val="001C5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5D00"/>
    <w:rPr>
      <w:rFonts w:ascii="Calibri" w:eastAsia="Calibri" w:hAnsi="Calibri" w:cs="Times New Roman"/>
      <w:sz w:val="24"/>
      <w:szCs w:val="24"/>
      <w:lang w:val="en-US"/>
    </w:rPr>
  </w:style>
  <w:style w:type="character" w:styleId="slostrnky">
    <w:name w:val="page number"/>
    <w:basedOn w:val="Standardnpsmoodstavce"/>
    <w:rsid w:val="001C5D00"/>
  </w:style>
  <w:style w:type="paragraph" w:customStyle="1" w:styleId="RLProhlensmluvnchstran">
    <w:name w:val="RL Prohlášení smluvních stran"/>
    <w:basedOn w:val="Normln"/>
    <w:link w:val="RLProhlensmluvnchstranChar"/>
    <w:rsid w:val="001C5D00"/>
    <w:pPr>
      <w:spacing w:after="120" w:line="280" w:lineRule="exact"/>
      <w:jc w:val="center"/>
    </w:pPr>
    <w:rPr>
      <w:rFonts w:eastAsia="Times New Roman"/>
      <w:b/>
      <w:sz w:val="22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rsid w:val="001C5D00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Default">
    <w:name w:val="Default"/>
    <w:rsid w:val="001C5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Šimůnková Lucie</dc:creator>
  <cp:keywords/>
  <dc:description/>
  <cp:lastModifiedBy> </cp:lastModifiedBy>
  <cp:revision>2</cp:revision>
  <dcterms:created xsi:type="dcterms:W3CDTF">2021-04-27T04:24:00Z</dcterms:created>
  <dcterms:modified xsi:type="dcterms:W3CDTF">2021-04-27T04:24:00Z</dcterms:modified>
</cp:coreProperties>
</file>