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68BE5" w14:textId="2DD03614" w:rsidR="00D936B7" w:rsidRPr="00D936B7" w:rsidRDefault="00D936B7" w:rsidP="00D936B7">
      <w:pPr>
        <w:keepNext/>
        <w:spacing w:before="240" w:after="60" w:line="276" w:lineRule="auto"/>
        <w:jc w:val="center"/>
        <w:outlineLvl w:val="0"/>
        <w:rPr>
          <w:rFonts w:ascii="Georgia" w:hAnsi="Georgia"/>
          <w:b/>
          <w:kern w:val="32"/>
          <w:sz w:val="32"/>
          <w:szCs w:val="32"/>
        </w:rPr>
      </w:pPr>
      <w:r w:rsidRPr="00D936B7">
        <w:rPr>
          <w:rFonts w:ascii="Georgia" w:hAnsi="Georgia"/>
          <w:b/>
          <w:kern w:val="32"/>
          <w:sz w:val="32"/>
          <w:szCs w:val="32"/>
        </w:rPr>
        <w:t xml:space="preserve">Technická specifikace </w:t>
      </w:r>
      <w:r w:rsidR="00A46055">
        <w:rPr>
          <w:rFonts w:ascii="Georgia" w:hAnsi="Georgia"/>
          <w:b/>
          <w:kern w:val="32"/>
          <w:sz w:val="32"/>
          <w:szCs w:val="32"/>
        </w:rPr>
        <w:t>technologie/vybavení</w:t>
      </w:r>
    </w:p>
    <w:p w14:paraId="1C1BF9B0" w14:textId="4B1DAA2B" w:rsidR="00D936B7" w:rsidRPr="00C243B7" w:rsidRDefault="00D936B7" w:rsidP="00D936B7">
      <w:pPr>
        <w:keepNext/>
        <w:spacing w:before="240" w:after="60" w:line="276" w:lineRule="auto"/>
        <w:jc w:val="center"/>
        <w:outlineLvl w:val="0"/>
        <w:rPr>
          <w:rFonts w:ascii="Georgia" w:hAnsi="Georgia"/>
          <w:b/>
          <w:kern w:val="32"/>
          <w:sz w:val="24"/>
          <w:szCs w:val="32"/>
        </w:rPr>
      </w:pPr>
      <w:r w:rsidRPr="00C243B7">
        <w:rPr>
          <w:rFonts w:ascii="Georgia" w:hAnsi="Georgia"/>
          <w:b/>
          <w:kern w:val="32"/>
          <w:sz w:val="24"/>
          <w:szCs w:val="32"/>
        </w:rPr>
        <w:t>Minimální požadované technické parametry předmětu plnění</w:t>
      </w:r>
    </w:p>
    <w:p w14:paraId="78468D5B" w14:textId="77777777" w:rsidR="00D936B7" w:rsidRPr="00D936B7" w:rsidRDefault="00D936B7" w:rsidP="00D936B7">
      <w:pPr>
        <w:rPr>
          <w:rFonts w:ascii="Georgia" w:hAnsi="Georgia" w:cs="Times New Roman"/>
          <w:b/>
          <w:bCs/>
        </w:rPr>
      </w:pPr>
    </w:p>
    <w:p w14:paraId="45A9D3A5" w14:textId="1F90990D" w:rsidR="00D936B7" w:rsidRPr="00361222" w:rsidRDefault="00D936B7" w:rsidP="00D936B7">
      <w:pPr>
        <w:ind w:left="2835" w:hanging="2835"/>
        <w:rPr>
          <w:b/>
          <w:sz w:val="22"/>
          <w:szCs w:val="22"/>
        </w:rPr>
      </w:pPr>
      <w:r w:rsidRPr="00361222">
        <w:rPr>
          <w:b/>
          <w:sz w:val="22"/>
          <w:szCs w:val="22"/>
        </w:rPr>
        <w:t>Název technologie/vybavení:</w:t>
      </w:r>
      <w:r w:rsidR="007B2E4B" w:rsidRPr="00361222">
        <w:rPr>
          <w:b/>
          <w:sz w:val="22"/>
          <w:szCs w:val="22"/>
        </w:rPr>
        <w:t xml:space="preserve"> </w:t>
      </w:r>
      <w:r w:rsidR="00437C1D" w:rsidRPr="00361222">
        <w:rPr>
          <w:sz w:val="22"/>
          <w:szCs w:val="22"/>
        </w:rPr>
        <w:t>Experimentální zařízení pro toxikologické testy na vodních organismech</w:t>
      </w:r>
    </w:p>
    <w:p w14:paraId="37ED04A7" w14:textId="77777777" w:rsidR="00E451FD" w:rsidRPr="00361222" w:rsidRDefault="00E451FD" w:rsidP="00D936B7">
      <w:pPr>
        <w:ind w:left="2835" w:hanging="2835"/>
        <w:rPr>
          <w:sz w:val="22"/>
          <w:szCs w:val="22"/>
        </w:rPr>
      </w:pPr>
    </w:p>
    <w:p w14:paraId="74BC5899" w14:textId="56166393" w:rsidR="00E451FD" w:rsidRPr="00361222" w:rsidRDefault="00C243B7" w:rsidP="00437C1D">
      <w:pPr>
        <w:jc w:val="both"/>
        <w:rPr>
          <w:b/>
          <w:color w:val="000000"/>
          <w:sz w:val="22"/>
          <w:szCs w:val="22"/>
        </w:rPr>
      </w:pPr>
      <w:r w:rsidRPr="00361222">
        <w:rPr>
          <w:b/>
          <w:color w:val="000000"/>
          <w:sz w:val="22"/>
          <w:szCs w:val="22"/>
        </w:rPr>
        <w:t>Stručný popis technologie/</w:t>
      </w:r>
      <w:r w:rsidR="00D936B7" w:rsidRPr="00361222">
        <w:rPr>
          <w:b/>
          <w:color w:val="000000"/>
          <w:sz w:val="22"/>
          <w:szCs w:val="22"/>
        </w:rPr>
        <w:t>vybavení a stanovení výzkumného účelu a využití:</w:t>
      </w:r>
      <w:r w:rsidR="007B2E4B" w:rsidRPr="00361222">
        <w:rPr>
          <w:color w:val="000000"/>
          <w:sz w:val="22"/>
          <w:szCs w:val="22"/>
        </w:rPr>
        <w:t xml:space="preserve"> </w:t>
      </w:r>
      <w:r w:rsidR="00437C1D" w:rsidRPr="00361222">
        <w:rPr>
          <w:color w:val="000000"/>
          <w:sz w:val="22"/>
          <w:szCs w:val="22"/>
        </w:rPr>
        <w:t>Expoziční průtočný systém pro toxikologické testy na vodních organismech. Sestava 2 stojanů osazených akvárii, s automatickým systémem výměny vody a automatickým dávkováním chemikálií do jednotlivých sestav akvárií. Systém bude využit pro provádění toxikologických testů na průtoku. Díky průtoku bude zajištěna stabilní koncentrace testovaných látek v akváriích.</w:t>
      </w:r>
    </w:p>
    <w:p w14:paraId="1A83D998" w14:textId="77777777" w:rsidR="00D936B7" w:rsidRPr="00361222" w:rsidRDefault="00D936B7" w:rsidP="00D936B7">
      <w:pPr>
        <w:jc w:val="both"/>
        <w:rPr>
          <w:color w:val="000000"/>
          <w:sz w:val="22"/>
          <w:szCs w:val="22"/>
        </w:rPr>
      </w:pPr>
    </w:p>
    <w:p w14:paraId="4BF804CA" w14:textId="21B8CAE1" w:rsidR="00723424" w:rsidRPr="00361222" w:rsidRDefault="00723424" w:rsidP="00D936B7">
      <w:pPr>
        <w:rPr>
          <w:sz w:val="22"/>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095"/>
        <w:gridCol w:w="3402"/>
        <w:gridCol w:w="2126"/>
      </w:tblGrid>
      <w:tr w:rsidR="00D936B7" w:rsidRPr="00361222" w14:paraId="3C193F9C" w14:textId="77777777" w:rsidTr="007D6296">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04DCA908" w14:textId="77777777" w:rsidR="00D936B7" w:rsidRPr="00361222" w:rsidRDefault="00D936B7" w:rsidP="00A46055">
            <w:pPr>
              <w:spacing w:line="360" w:lineRule="auto"/>
              <w:rPr>
                <w:b/>
                <w:bCs/>
                <w:sz w:val="22"/>
                <w:szCs w:val="22"/>
              </w:rPr>
            </w:pPr>
            <w:r w:rsidRPr="00361222">
              <w:rPr>
                <w:b/>
                <w:bCs/>
                <w:sz w:val="22"/>
                <w:szCs w:val="22"/>
              </w:rPr>
              <w:t>Popis parametru</w:t>
            </w:r>
          </w:p>
        </w:tc>
        <w:tc>
          <w:tcPr>
            <w:tcW w:w="6095" w:type="dxa"/>
            <w:tcBorders>
              <w:top w:val="single" w:sz="4" w:space="0" w:color="auto"/>
              <w:left w:val="single" w:sz="4" w:space="0" w:color="auto"/>
              <w:bottom w:val="single" w:sz="4" w:space="0" w:color="auto"/>
              <w:right w:val="single" w:sz="4" w:space="0" w:color="auto"/>
            </w:tcBorders>
            <w:shd w:val="clear" w:color="auto" w:fill="D9D9D9"/>
            <w:hideMark/>
          </w:tcPr>
          <w:p w14:paraId="204D3DBF" w14:textId="77777777" w:rsidR="00D936B7" w:rsidRPr="00361222" w:rsidRDefault="00D936B7" w:rsidP="00A46055">
            <w:pPr>
              <w:spacing w:line="360" w:lineRule="auto"/>
              <w:rPr>
                <w:b/>
                <w:bCs/>
                <w:sz w:val="22"/>
                <w:szCs w:val="22"/>
              </w:rPr>
            </w:pPr>
            <w:r w:rsidRPr="00361222">
              <w:rPr>
                <w:b/>
                <w:bCs/>
                <w:sz w:val="22"/>
                <w:szCs w:val="22"/>
              </w:rPr>
              <w:t>Zadavatelem požadovaná hodnota</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4E4697CF" w14:textId="77777777" w:rsidR="00D936B7" w:rsidRPr="00361222" w:rsidRDefault="00D936B7" w:rsidP="00A46055">
            <w:pPr>
              <w:spacing w:line="360" w:lineRule="auto"/>
              <w:rPr>
                <w:b/>
                <w:bCs/>
                <w:sz w:val="22"/>
                <w:szCs w:val="22"/>
              </w:rPr>
            </w:pPr>
            <w:r w:rsidRPr="00361222">
              <w:rPr>
                <w:b/>
                <w:bCs/>
                <w:sz w:val="22"/>
                <w:szCs w:val="22"/>
              </w:rPr>
              <w:t>Uchazečem nabízená hodnota</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053ACEB9" w14:textId="77777777" w:rsidR="00D936B7" w:rsidRPr="00361222" w:rsidRDefault="00D936B7" w:rsidP="00A46055">
            <w:pPr>
              <w:spacing w:line="360" w:lineRule="auto"/>
              <w:rPr>
                <w:b/>
                <w:bCs/>
                <w:sz w:val="22"/>
                <w:szCs w:val="22"/>
              </w:rPr>
            </w:pPr>
            <w:r w:rsidRPr="00361222">
              <w:rPr>
                <w:b/>
                <w:bCs/>
                <w:sz w:val="22"/>
                <w:szCs w:val="22"/>
              </w:rPr>
              <w:t>Závaznost</w:t>
            </w:r>
          </w:p>
        </w:tc>
      </w:tr>
      <w:tr w:rsidR="00D936B7" w:rsidRPr="00361222" w14:paraId="37487DDA" w14:textId="77777777" w:rsidTr="007D6296">
        <w:tc>
          <w:tcPr>
            <w:tcW w:w="2689" w:type="dxa"/>
            <w:tcBorders>
              <w:top w:val="single" w:sz="4" w:space="0" w:color="auto"/>
              <w:left w:val="single" w:sz="4" w:space="0" w:color="auto"/>
              <w:bottom w:val="single" w:sz="4" w:space="0" w:color="auto"/>
              <w:right w:val="single" w:sz="4" w:space="0" w:color="auto"/>
            </w:tcBorders>
            <w:hideMark/>
          </w:tcPr>
          <w:p w14:paraId="2FAA2A8D" w14:textId="3FB016CB" w:rsidR="00D936B7" w:rsidRPr="00361222" w:rsidRDefault="005D7401" w:rsidP="00A46055">
            <w:pPr>
              <w:spacing w:line="360" w:lineRule="auto"/>
              <w:rPr>
                <w:b/>
                <w:bCs/>
                <w:sz w:val="22"/>
                <w:szCs w:val="22"/>
              </w:rPr>
            </w:pPr>
            <w:r w:rsidRPr="00361222">
              <w:rPr>
                <w:b/>
                <w:bCs/>
                <w:sz w:val="22"/>
                <w:szCs w:val="22"/>
              </w:rPr>
              <w:t>Dodavatel</w:t>
            </w:r>
          </w:p>
        </w:tc>
        <w:tc>
          <w:tcPr>
            <w:tcW w:w="6095" w:type="dxa"/>
            <w:tcBorders>
              <w:top w:val="single" w:sz="4" w:space="0" w:color="auto"/>
              <w:left w:val="single" w:sz="4" w:space="0" w:color="auto"/>
              <w:bottom w:val="single" w:sz="4" w:space="0" w:color="auto"/>
              <w:right w:val="single" w:sz="4" w:space="0" w:color="auto"/>
            </w:tcBorders>
          </w:tcPr>
          <w:p w14:paraId="2E2F25C3" w14:textId="2EEC9DE1" w:rsidR="00D936B7" w:rsidRPr="00361222" w:rsidRDefault="005D7401" w:rsidP="00A46055">
            <w:pPr>
              <w:spacing w:line="360" w:lineRule="auto"/>
              <w:jc w:val="center"/>
              <w:rPr>
                <w:sz w:val="22"/>
                <w:szCs w:val="22"/>
              </w:rPr>
            </w:pPr>
            <w:r w:rsidRPr="00361222">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1C868B4" w14:textId="77777777" w:rsidR="00D936B7" w:rsidRPr="00361222" w:rsidRDefault="00D936B7" w:rsidP="00A46055">
            <w:pPr>
              <w:spacing w:line="360" w:lineRule="auto"/>
              <w:rPr>
                <w:b/>
                <w:bCs/>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6065AA70" w14:textId="77777777" w:rsidR="00D936B7" w:rsidRPr="00361222" w:rsidRDefault="00D936B7" w:rsidP="00A46055">
            <w:pPr>
              <w:spacing w:line="360" w:lineRule="auto"/>
              <w:rPr>
                <w:sz w:val="22"/>
                <w:szCs w:val="22"/>
              </w:rPr>
            </w:pPr>
          </w:p>
        </w:tc>
      </w:tr>
      <w:tr w:rsidR="00D936B7" w:rsidRPr="00361222" w14:paraId="5543CA20" w14:textId="77777777" w:rsidTr="007D6296">
        <w:tc>
          <w:tcPr>
            <w:tcW w:w="2689" w:type="dxa"/>
            <w:tcBorders>
              <w:top w:val="single" w:sz="4" w:space="0" w:color="auto"/>
              <w:left w:val="single" w:sz="4" w:space="0" w:color="auto"/>
              <w:bottom w:val="single" w:sz="4" w:space="0" w:color="auto"/>
              <w:right w:val="single" w:sz="4" w:space="0" w:color="auto"/>
            </w:tcBorders>
            <w:hideMark/>
          </w:tcPr>
          <w:p w14:paraId="7310F500" w14:textId="5417E179" w:rsidR="00D936B7" w:rsidRPr="00361222" w:rsidRDefault="005D7401" w:rsidP="00A46055">
            <w:pPr>
              <w:spacing w:line="360" w:lineRule="auto"/>
              <w:rPr>
                <w:b/>
                <w:bCs/>
                <w:sz w:val="22"/>
                <w:szCs w:val="22"/>
              </w:rPr>
            </w:pPr>
            <w:r w:rsidRPr="00361222">
              <w:rPr>
                <w:b/>
                <w:bCs/>
                <w:sz w:val="22"/>
                <w:szCs w:val="22"/>
              </w:rPr>
              <w:t>Výrobce</w:t>
            </w:r>
          </w:p>
        </w:tc>
        <w:tc>
          <w:tcPr>
            <w:tcW w:w="6095" w:type="dxa"/>
            <w:tcBorders>
              <w:top w:val="single" w:sz="4" w:space="0" w:color="auto"/>
              <w:left w:val="single" w:sz="4" w:space="0" w:color="auto"/>
              <w:bottom w:val="single" w:sz="4" w:space="0" w:color="auto"/>
              <w:right w:val="single" w:sz="4" w:space="0" w:color="auto"/>
            </w:tcBorders>
          </w:tcPr>
          <w:p w14:paraId="6C93F4E9" w14:textId="46718F30" w:rsidR="00D936B7" w:rsidRPr="00361222" w:rsidRDefault="005D7401" w:rsidP="00A46055">
            <w:pPr>
              <w:spacing w:line="360" w:lineRule="auto"/>
              <w:jc w:val="center"/>
              <w:rPr>
                <w:sz w:val="22"/>
                <w:szCs w:val="22"/>
              </w:rPr>
            </w:pPr>
            <w:r w:rsidRPr="00361222">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3278EDA" w14:textId="77777777" w:rsidR="00D936B7" w:rsidRPr="00361222" w:rsidRDefault="00D936B7" w:rsidP="00A46055">
            <w:pPr>
              <w:spacing w:line="360" w:lineRule="auto"/>
              <w:rPr>
                <w:b/>
                <w:bCs/>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1F9FEC95" w14:textId="77777777" w:rsidR="00D936B7" w:rsidRPr="00361222" w:rsidRDefault="00D936B7" w:rsidP="00A46055">
            <w:pPr>
              <w:spacing w:line="360" w:lineRule="auto"/>
              <w:rPr>
                <w:sz w:val="22"/>
                <w:szCs w:val="22"/>
              </w:rPr>
            </w:pPr>
          </w:p>
        </w:tc>
      </w:tr>
      <w:tr w:rsidR="005D7401" w:rsidRPr="00361222" w14:paraId="0D8C006A" w14:textId="77777777" w:rsidTr="007D6296">
        <w:tc>
          <w:tcPr>
            <w:tcW w:w="14312" w:type="dxa"/>
            <w:gridSpan w:val="4"/>
            <w:tcBorders>
              <w:top w:val="single" w:sz="4" w:space="0" w:color="auto"/>
              <w:left w:val="single" w:sz="4" w:space="0" w:color="auto"/>
              <w:bottom w:val="single" w:sz="4" w:space="0" w:color="auto"/>
              <w:right w:val="single" w:sz="4" w:space="0" w:color="auto"/>
            </w:tcBorders>
          </w:tcPr>
          <w:p w14:paraId="798C1198" w14:textId="5AC8DA8D" w:rsidR="005D7401" w:rsidRPr="00361222" w:rsidRDefault="005D7401" w:rsidP="00A46055">
            <w:pPr>
              <w:spacing w:line="360" w:lineRule="auto"/>
              <w:rPr>
                <w:sz w:val="22"/>
                <w:szCs w:val="22"/>
              </w:rPr>
            </w:pPr>
            <w:r w:rsidRPr="00361222">
              <w:rPr>
                <w:b/>
                <w:sz w:val="22"/>
                <w:szCs w:val="22"/>
              </w:rPr>
              <w:t>Požadované parametry technologie:</w:t>
            </w:r>
          </w:p>
        </w:tc>
      </w:tr>
      <w:tr w:rsidR="00E30CC7" w:rsidRPr="00361222" w14:paraId="035F3564" w14:textId="77777777" w:rsidTr="00A85E51">
        <w:tc>
          <w:tcPr>
            <w:tcW w:w="2689" w:type="dxa"/>
            <w:vMerge w:val="restart"/>
            <w:tcBorders>
              <w:top w:val="single" w:sz="4" w:space="0" w:color="auto"/>
              <w:left w:val="single" w:sz="4" w:space="0" w:color="auto"/>
              <w:right w:val="single" w:sz="4" w:space="0" w:color="auto"/>
            </w:tcBorders>
          </w:tcPr>
          <w:p w14:paraId="4EF8904A" w14:textId="7C8A9FF2" w:rsidR="00E30CC7" w:rsidRPr="00361222" w:rsidRDefault="00E30CC7" w:rsidP="00A46055">
            <w:pPr>
              <w:spacing w:line="360" w:lineRule="auto"/>
              <w:rPr>
                <w:b/>
                <w:bCs/>
                <w:sz w:val="22"/>
                <w:szCs w:val="22"/>
              </w:rPr>
            </w:pPr>
            <w:r w:rsidRPr="00361222">
              <w:rPr>
                <w:b/>
                <w:bCs/>
                <w:sz w:val="22"/>
                <w:szCs w:val="22"/>
              </w:rPr>
              <w:t>Obecná charakteristika</w:t>
            </w:r>
          </w:p>
        </w:tc>
        <w:tc>
          <w:tcPr>
            <w:tcW w:w="6095" w:type="dxa"/>
            <w:tcBorders>
              <w:top w:val="single" w:sz="4" w:space="0" w:color="auto"/>
              <w:left w:val="single" w:sz="4" w:space="0" w:color="auto"/>
              <w:bottom w:val="single" w:sz="4" w:space="0" w:color="auto"/>
              <w:right w:val="single" w:sz="4" w:space="0" w:color="auto"/>
            </w:tcBorders>
          </w:tcPr>
          <w:p w14:paraId="30C4400C" w14:textId="01B4675A" w:rsidR="00E30CC7" w:rsidRPr="00361222" w:rsidRDefault="00E30CC7" w:rsidP="00437C1D">
            <w:pPr>
              <w:rPr>
                <w:sz w:val="22"/>
                <w:szCs w:val="22"/>
              </w:rPr>
            </w:pPr>
            <w:r w:rsidRPr="00361222">
              <w:rPr>
                <w:sz w:val="22"/>
                <w:szCs w:val="22"/>
              </w:rPr>
              <w:t>Systém pro chov vodních organismů pro laboratorní účely zajišťující odpovídají zdravotní podmínky a podmínky pro pokusy (toxikologické studie)</w:t>
            </w:r>
          </w:p>
        </w:tc>
        <w:tc>
          <w:tcPr>
            <w:tcW w:w="3402" w:type="dxa"/>
            <w:tcBorders>
              <w:top w:val="single" w:sz="4" w:space="0" w:color="auto"/>
              <w:left w:val="single" w:sz="4" w:space="0" w:color="auto"/>
              <w:bottom w:val="single" w:sz="4" w:space="0" w:color="auto"/>
              <w:right w:val="single" w:sz="4" w:space="0" w:color="auto"/>
            </w:tcBorders>
          </w:tcPr>
          <w:p w14:paraId="73D9EC0A" w14:textId="77777777" w:rsidR="00E30CC7" w:rsidRPr="00361222" w:rsidRDefault="00E30CC7" w:rsidP="00A46055">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0A413A1E" w14:textId="77777777" w:rsidR="00E30CC7" w:rsidRPr="00361222" w:rsidRDefault="00E30CC7" w:rsidP="00A46055">
            <w:pPr>
              <w:spacing w:line="360" w:lineRule="auto"/>
              <w:rPr>
                <w:sz w:val="22"/>
                <w:szCs w:val="22"/>
              </w:rPr>
            </w:pPr>
          </w:p>
        </w:tc>
      </w:tr>
      <w:tr w:rsidR="00E30CC7" w:rsidRPr="00361222" w14:paraId="4EC7DB6C" w14:textId="77777777" w:rsidTr="00042938">
        <w:tc>
          <w:tcPr>
            <w:tcW w:w="2689" w:type="dxa"/>
            <w:vMerge/>
            <w:tcBorders>
              <w:left w:val="single" w:sz="4" w:space="0" w:color="auto"/>
              <w:right w:val="single" w:sz="4" w:space="0" w:color="auto"/>
            </w:tcBorders>
          </w:tcPr>
          <w:p w14:paraId="1734C421" w14:textId="37A1B116" w:rsidR="00E30CC7" w:rsidRPr="00361222" w:rsidRDefault="00E30CC7" w:rsidP="0030390B">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5E54D6B1" w14:textId="3AC70DF6" w:rsidR="00E30CC7" w:rsidRPr="00361222" w:rsidRDefault="00E30CC7" w:rsidP="00FB2662">
            <w:pPr>
              <w:rPr>
                <w:color w:val="000000"/>
                <w:sz w:val="22"/>
                <w:szCs w:val="22"/>
              </w:rPr>
            </w:pPr>
            <w:r w:rsidRPr="00361222">
              <w:rPr>
                <w:sz w:val="22"/>
                <w:szCs w:val="22"/>
              </w:rPr>
              <w:t xml:space="preserve">Systém se 2 stojany pro akvária, </w:t>
            </w:r>
            <w:proofErr w:type="gramStart"/>
            <w:r w:rsidRPr="00361222">
              <w:rPr>
                <w:sz w:val="22"/>
                <w:szCs w:val="22"/>
              </w:rPr>
              <w:t>18ti</w:t>
            </w:r>
            <w:proofErr w:type="gramEnd"/>
            <w:r w:rsidRPr="00361222">
              <w:rPr>
                <w:sz w:val="22"/>
                <w:szCs w:val="22"/>
              </w:rPr>
              <w:t xml:space="preserve"> akvárii, integrovaným rozvodem vody do akvárií s programovatelným řízením a automatickými dávkovači chemikálií</w:t>
            </w:r>
            <w:r w:rsidR="00A17E60" w:rsidRPr="00361222">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7BD20AF" w14:textId="77777777" w:rsidR="00E30CC7" w:rsidRPr="00361222" w:rsidRDefault="00E30CC7" w:rsidP="0030390B">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2D9BD85B" w14:textId="77777777" w:rsidR="00E30CC7" w:rsidRPr="00361222" w:rsidRDefault="00E30CC7" w:rsidP="0030390B">
            <w:pPr>
              <w:spacing w:line="360" w:lineRule="auto"/>
              <w:rPr>
                <w:sz w:val="22"/>
                <w:szCs w:val="22"/>
              </w:rPr>
            </w:pPr>
          </w:p>
        </w:tc>
      </w:tr>
      <w:tr w:rsidR="00E30CC7" w:rsidRPr="00361222" w14:paraId="5A861B63" w14:textId="77777777" w:rsidTr="00042938">
        <w:tc>
          <w:tcPr>
            <w:tcW w:w="2689" w:type="dxa"/>
            <w:vMerge/>
            <w:tcBorders>
              <w:left w:val="single" w:sz="4" w:space="0" w:color="auto"/>
              <w:right w:val="single" w:sz="4" w:space="0" w:color="auto"/>
            </w:tcBorders>
          </w:tcPr>
          <w:p w14:paraId="27347FF1" w14:textId="77777777" w:rsidR="00E30CC7" w:rsidRPr="00361222" w:rsidRDefault="00E30CC7" w:rsidP="00BF5079">
            <w:pPr>
              <w:spacing w:line="360" w:lineRule="auto"/>
              <w:rPr>
                <w:b/>
                <w:bCs/>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241CF561" w14:textId="403512FA" w:rsidR="00E30CC7" w:rsidRPr="00361222" w:rsidRDefault="00E30CC7" w:rsidP="00BF5079">
            <w:pPr>
              <w:rPr>
                <w:sz w:val="22"/>
                <w:szCs w:val="22"/>
              </w:rPr>
            </w:pPr>
            <w:r w:rsidRPr="00361222">
              <w:rPr>
                <w:sz w:val="22"/>
                <w:szCs w:val="22"/>
              </w:rPr>
              <w:t>Součástí dodávky systému doprava, kompletní instalace včetně všech rozvodů a napojení na média a uvedení do provozu, školení obsluhy a zajištěný záruční i pozáruční servis.</w:t>
            </w:r>
          </w:p>
        </w:tc>
        <w:tc>
          <w:tcPr>
            <w:tcW w:w="3402" w:type="dxa"/>
            <w:tcBorders>
              <w:top w:val="single" w:sz="4" w:space="0" w:color="auto"/>
              <w:left w:val="single" w:sz="4" w:space="0" w:color="auto"/>
              <w:bottom w:val="single" w:sz="4" w:space="0" w:color="auto"/>
              <w:right w:val="single" w:sz="4" w:space="0" w:color="auto"/>
            </w:tcBorders>
          </w:tcPr>
          <w:p w14:paraId="05FE3FE4" w14:textId="77777777" w:rsidR="00E30CC7" w:rsidRPr="00361222" w:rsidRDefault="00E30CC7"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05E5C368" w14:textId="77777777" w:rsidR="00E30CC7" w:rsidRPr="00361222" w:rsidRDefault="00E30CC7" w:rsidP="00BF5079">
            <w:pPr>
              <w:spacing w:line="360" w:lineRule="auto"/>
              <w:rPr>
                <w:sz w:val="22"/>
                <w:szCs w:val="22"/>
              </w:rPr>
            </w:pPr>
          </w:p>
        </w:tc>
      </w:tr>
      <w:tr w:rsidR="00E60267" w:rsidRPr="00361222" w14:paraId="30C6977B" w14:textId="77777777" w:rsidTr="00540F44">
        <w:tc>
          <w:tcPr>
            <w:tcW w:w="2689" w:type="dxa"/>
            <w:tcBorders>
              <w:top w:val="single" w:sz="4" w:space="0" w:color="auto"/>
              <w:left w:val="single" w:sz="4" w:space="0" w:color="auto"/>
              <w:right w:val="single" w:sz="4" w:space="0" w:color="auto"/>
            </w:tcBorders>
          </w:tcPr>
          <w:p w14:paraId="2FB2B822" w14:textId="77777777" w:rsidR="00E60267" w:rsidRPr="00361222" w:rsidRDefault="00E60267" w:rsidP="00BF5079">
            <w:pPr>
              <w:spacing w:line="360" w:lineRule="auto"/>
              <w:rPr>
                <w:b/>
                <w:bCs/>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764EBECC" w14:textId="77777777" w:rsidR="00E60267" w:rsidRPr="00361222" w:rsidRDefault="00E60267" w:rsidP="00BF5079">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5FA9F21" w14:textId="77777777" w:rsidR="00E60267" w:rsidRPr="00361222" w:rsidRDefault="00E60267"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3AB79B1E" w14:textId="77777777" w:rsidR="00E60267" w:rsidRPr="00361222" w:rsidRDefault="00E60267" w:rsidP="00BF5079">
            <w:pPr>
              <w:spacing w:line="360" w:lineRule="auto"/>
              <w:rPr>
                <w:sz w:val="22"/>
                <w:szCs w:val="22"/>
              </w:rPr>
            </w:pPr>
          </w:p>
        </w:tc>
      </w:tr>
      <w:tr w:rsidR="00BF5079" w:rsidRPr="00361222" w14:paraId="3D7E2DB6" w14:textId="77777777" w:rsidTr="00540F44">
        <w:tc>
          <w:tcPr>
            <w:tcW w:w="2689" w:type="dxa"/>
            <w:vMerge w:val="restart"/>
            <w:tcBorders>
              <w:top w:val="single" w:sz="4" w:space="0" w:color="auto"/>
              <w:left w:val="single" w:sz="4" w:space="0" w:color="auto"/>
              <w:right w:val="single" w:sz="4" w:space="0" w:color="auto"/>
            </w:tcBorders>
          </w:tcPr>
          <w:p w14:paraId="6F7248B5" w14:textId="37F3AC6D" w:rsidR="00BF5079" w:rsidRPr="00361222" w:rsidRDefault="00BF5079" w:rsidP="00BF5079">
            <w:pPr>
              <w:spacing w:line="360" w:lineRule="auto"/>
              <w:rPr>
                <w:b/>
                <w:bCs/>
                <w:sz w:val="22"/>
                <w:szCs w:val="22"/>
              </w:rPr>
            </w:pPr>
            <w:r w:rsidRPr="00361222">
              <w:rPr>
                <w:b/>
                <w:bCs/>
                <w:sz w:val="22"/>
                <w:szCs w:val="22"/>
              </w:rPr>
              <w:t>Stojan, rozvod vody</w:t>
            </w:r>
          </w:p>
        </w:tc>
        <w:tc>
          <w:tcPr>
            <w:tcW w:w="6095" w:type="dxa"/>
            <w:tcBorders>
              <w:top w:val="single" w:sz="4" w:space="0" w:color="auto"/>
              <w:left w:val="single" w:sz="4" w:space="0" w:color="auto"/>
              <w:bottom w:val="single" w:sz="4" w:space="0" w:color="auto"/>
              <w:right w:val="single" w:sz="4" w:space="0" w:color="auto"/>
            </w:tcBorders>
            <w:vAlign w:val="center"/>
          </w:tcPr>
          <w:p w14:paraId="0E5C3B99" w14:textId="2814CCAC" w:rsidR="00BF5079" w:rsidRPr="00361222" w:rsidRDefault="00BF5079" w:rsidP="00BF5079">
            <w:pPr>
              <w:rPr>
                <w:color w:val="000000"/>
                <w:sz w:val="22"/>
                <w:szCs w:val="22"/>
              </w:rPr>
            </w:pPr>
            <w:r w:rsidRPr="00361222">
              <w:rPr>
                <w:sz w:val="22"/>
                <w:szCs w:val="22"/>
              </w:rPr>
              <w:t>Kapacita 9 akvárií o kapacitě 25 až 30 l a ploše 2050 až 2200 cm</w:t>
            </w:r>
            <w:r w:rsidRPr="00361222">
              <w:rPr>
                <w:sz w:val="22"/>
                <w:szCs w:val="22"/>
                <w:vertAlign w:val="superscript"/>
              </w:rPr>
              <w:t>2</w:t>
            </w:r>
            <w:r w:rsidRPr="00361222">
              <w:rPr>
                <w:sz w:val="22"/>
                <w:szCs w:val="22"/>
              </w:rPr>
              <w:t xml:space="preserve"> s možností použití také menších akvárií 12 až 14 l a ploše 900 až 1000 cm</w:t>
            </w:r>
            <w:r w:rsidRPr="00361222">
              <w:rPr>
                <w:sz w:val="22"/>
                <w:szCs w:val="22"/>
                <w:vertAlign w:val="superscript"/>
              </w:rPr>
              <w:t>2</w:t>
            </w:r>
          </w:p>
        </w:tc>
        <w:tc>
          <w:tcPr>
            <w:tcW w:w="3402" w:type="dxa"/>
            <w:tcBorders>
              <w:top w:val="single" w:sz="4" w:space="0" w:color="auto"/>
              <w:left w:val="single" w:sz="4" w:space="0" w:color="auto"/>
              <w:bottom w:val="single" w:sz="4" w:space="0" w:color="auto"/>
              <w:right w:val="single" w:sz="4" w:space="0" w:color="auto"/>
            </w:tcBorders>
          </w:tcPr>
          <w:p w14:paraId="0367092B"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22D76D05" w14:textId="77777777" w:rsidR="00BF5079" w:rsidRPr="00361222" w:rsidRDefault="00BF5079" w:rsidP="00BF5079">
            <w:pPr>
              <w:spacing w:line="360" w:lineRule="auto"/>
              <w:rPr>
                <w:sz w:val="22"/>
                <w:szCs w:val="22"/>
              </w:rPr>
            </w:pPr>
          </w:p>
        </w:tc>
      </w:tr>
      <w:tr w:rsidR="00BF5079" w:rsidRPr="00361222" w14:paraId="06A671BD" w14:textId="77777777" w:rsidTr="00540F44">
        <w:tc>
          <w:tcPr>
            <w:tcW w:w="2689" w:type="dxa"/>
            <w:vMerge/>
            <w:tcBorders>
              <w:left w:val="single" w:sz="4" w:space="0" w:color="auto"/>
              <w:right w:val="single" w:sz="4" w:space="0" w:color="auto"/>
            </w:tcBorders>
          </w:tcPr>
          <w:p w14:paraId="7F576F8F" w14:textId="7190CDE7" w:rsidR="00BF5079" w:rsidRPr="00361222" w:rsidRDefault="00BF5079" w:rsidP="00BF5079">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585FBCE1" w14:textId="10B30D08" w:rsidR="00BF5079" w:rsidRPr="00361222" w:rsidRDefault="00BF5079" w:rsidP="00BF5079">
            <w:pPr>
              <w:rPr>
                <w:color w:val="000000"/>
                <w:sz w:val="22"/>
                <w:szCs w:val="22"/>
              </w:rPr>
            </w:pPr>
            <w:r w:rsidRPr="00361222">
              <w:rPr>
                <w:sz w:val="22"/>
                <w:szCs w:val="22"/>
              </w:rPr>
              <w:t xml:space="preserve">Stojan konstruován pro osazení akvárii a zároveň </w:t>
            </w:r>
            <w:r w:rsidR="00567475" w:rsidRPr="00361222">
              <w:rPr>
                <w:sz w:val="22"/>
                <w:szCs w:val="22"/>
              </w:rPr>
              <w:t>s</w:t>
            </w:r>
            <w:r w:rsidRPr="00361222">
              <w:rPr>
                <w:sz w:val="22"/>
                <w:szCs w:val="22"/>
              </w:rPr>
              <w:t xml:space="preserve"> vešker</w:t>
            </w:r>
            <w:r w:rsidR="00567475" w:rsidRPr="00361222">
              <w:rPr>
                <w:sz w:val="22"/>
                <w:szCs w:val="22"/>
              </w:rPr>
              <w:t>ými</w:t>
            </w:r>
            <w:r w:rsidRPr="00361222">
              <w:rPr>
                <w:sz w:val="22"/>
                <w:szCs w:val="22"/>
              </w:rPr>
              <w:t xml:space="preserve"> prvky rozvodu vody, řízení a ovládání systému. </w:t>
            </w:r>
          </w:p>
        </w:tc>
        <w:tc>
          <w:tcPr>
            <w:tcW w:w="3402" w:type="dxa"/>
            <w:tcBorders>
              <w:top w:val="single" w:sz="4" w:space="0" w:color="auto"/>
              <w:left w:val="single" w:sz="4" w:space="0" w:color="auto"/>
              <w:bottom w:val="single" w:sz="4" w:space="0" w:color="auto"/>
              <w:right w:val="single" w:sz="4" w:space="0" w:color="auto"/>
            </w:tcBorders>
          </w:tcPr>
          <w:p w14:paraId="6BDDEE5C"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3C0E2B78" w14:textId="77777777" w:rsidR="00BF5079" w:rsidRPr="00361222" w:rsidRDefault="00BF5079" w:rsidP="00BF5079">
            <w:pPr>
              <w:spacing w:line="360" w:lineRule="auto"/>
              <w:rPr>
                <w:sz w:val="22"/>
                <w:szCs w:val="22"/>
              </w:rPr>
            </w:pPr>
          </w:p>
        </w:tc>
      </w:tr>
      <w:tr w:rsidR="00BF5079" w:rsidRPr="00361222" w14:paraId="2A66E67C" w14:textId="77777777" w:rsidTr="00540F44">
        <w:tc>
          <w:tcPr>
            <w:tcW w:w="2689" w:type="dxa"/>
            <w:vMerge/>
            <w:tcBorders>
              <w:left w:val="single" w:sz="4" w:space="0" w:color="auto"/>
              <w:right w:val="single" w:sz="4" w:space="0" w:color="auto"/>
            </w:tcBorders>
          </w:tcPr>
          <w:p w14:paraId="76900269" w14:textId="5B380AE8"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0DB9621F" w14:textId="5D45D228" w:rsidR="00BF5079" w:rsidRPr="00361222" w:rsidRDefault="00BF5079" w:rsidP="00BF5079">
            <w:pPr>
              <w:rPr>
                <w:sz w:val="22"/>
                <w:szCs w:val="22"/>
              </w:rPr>
            </w:pPr>
            <w:r w:rsidRPr="00361222">
              <w:rPr>
                <w:sz w:val="22"/>
                <w:szCs w:val="22"/>
              </w:rPr>
              <w:t>Umístění akvárií ve stojanu rozděleno do tří sekcí (úrovní), každá po třech akváriích. Každá sekce tvoří jednu úroveň.</w:t>
            </w:r>
          </w:p>
        </w:tc>
        <w:tc>
          <w:tcPr>
            <w:tcW w:w="3402" w:type="dxa"/>
            <w:tcBorders>
              <w:top w:val="single" w:sz="4" w:space="0" w:color="auto"/>
              <w:left w:val="single" w:sz="4" w:space="0" w:color="auto"/>
              <w:bottom w:val="single" w:sz="4" w:space="0" w:color="auto"/>
              <w:right w:val="single" w:sz="4" w:space="0" w:color="auto"/>
            </w:tcBorders>
          </w:tcPr>
          <w:p w14:paraId="1BF5E900"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43F85F25" w14:textId="77777777" w:rsidR="00BF5079" w:rsidRPr="00361222" w:rsidRDefault="00BF5079" w:rsidP="00BF5079">
            <w:pPr>
              <w:spacing w:line="360" w:lineRule="auto"/>
              <w:rPr>
                <w:sz w:val="22"/>
                <w:szCs w:val="22"/>
              </w:rPr>
            </w:pPr>
          </w:p>
        </w:tc>
      </w:tr>
      <w:tr w:rsidR="00BF5079" w:rsidRPr="00361222" w14:paraId="1342F847" w14:textId="77777777" w:rsidTr="00540F44">
        <w:tc>
          <w:tcPr>
            <w:tcW w:w="2689" w:type="dxa"/>
            <w:vMerge/>
            <w:tcBorders>
              <w:left w:val="single" w:sz="4" w:space="0" w:color="auto"/>
              <w:right w:val="single" w:sz="4" w:space="0" w:color="auto"/>
            </w:tcBorders>
          </w:tcPr>
          <w:p w14:paraId="12D10908" w14:textId="10074704"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785438A4" w14:textId="5A9C309B" w:rsidR="00BF5079" w:rsidRPr="00361222" w:rsidRDefault="00BF5079" w:rsidP="00BF5079">
            <w:pPr>
              <w:spacing w:line="360" w:lineRule="auto"/>
              <w:rPr>
                <w:sz w:val="22"/>
                <w:szCs w:val="22"/>
              </w:rPr>
            </w:pPr>
            <w:r w:rsidRPr="00361222">
              <w:rPr>
                <w:sz w:val="22"/>
                <w:szCs w:val="22"/>
              </w:rPr>
              <w:t>Pozice akvárií ve stojanu přesně definována pomocí vodících lišt.</w:t>
            </w:r>
          </w:p>
        </w:tc>
        <w:tc>
          <w:tcPr>
            <w:tcW w:w="3402" w:type="dxa"/>
            <w:tcBorders>
              <w:top w:val="single" w:sz="4" w:space="0" w:color="auto"/>
              <w:left w:val="single" w:sz="4" w:space="0" w:color="auto"/>
              <w:bottom w:val="single" w:sz="4" w:space="0" w:color="auto"/>
              <w:right w:val="single" w:sz="4" w:space="0" w:color="auto"/>
            </w:tcBorders>
          </w:tcPr>
          <w:p w14:paraId="520DE962"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7ABF2D8A" w14:textId="77777777" w:rsidR="00BF5079" w:rsidRPr="00361222" w:rsidRDefault="00BF5079" w:rsidP="00BF5079">
            <w:pPr>
              <w:spacing w:line="360" w:lineRule="auto"/>
              <w:rPr>
                <w:sz w:val="22"/>
                <w:szCs w:val="22"/>
              </w:rPr>
            </w:pPr>
          </w:p>
        </w:tc>
      </w:tr>
      <w:tr w:rsidR="00BF5079" w:rsidRPr="00361222" w14:paraId="06DAB80B" w14:textId="77777777" w:rsidTr="00540F44">
        <w:tc>
          <w:tcPr>
            <w:tcW w:w="2689" w:type="dxa"/>
            <w:vMerge/>
            <w:tcBorders>
              <w:left w:val="single" w:sz="4" w:space="0" w:color="auto"/>
              <w:right w:val="single" w:sz="4" w:space="0" w:color="auto"/>
            </w:tcBorders>
          </w:tcPr>
          <w:p w14:paraId="32CE1302" w14:textId="77777777"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26BC0DCB" w14:textId="35018F9D" w:rsidR="00BF5079" w:rsidRPr="00361222" w:rsidRDefault="00BF5079" w:rsidP="00BF5079">
            <w:pPr>
              <w:rPr>
                <w:sz w:val="22"/>
                <w:szCs w:val="22"/>
              </w:rPr>
            </w:pPr>
            <w:r w:rsidRPr="00361222">
              <w:rPr>
                <w:sz w:val="22"/>
                <w:szCs w:val="22"/>
              </w:rPr>
              <w:t>Každé akvárium ve stojanu zasazeno na tmavé matné kotvící podložce.</w:t>
            </w:r>
          </w:p>
        </w:tc>
        <w:tc>
          <w:tcPr>
            <w:tcW w:w="3402" w:type="dxa"/>
            <w:tcBorders>
              <w:top w:val="single" w:sz="4" w:space="0" w:color="auto"/>
              <w:left w:val="single" w:sz="4" w:space="0" w:color="auto"/>
              <w:bottom w:val="single" w:sz="4" w:space="0" w:color="auto"/>
              <w:right w:val="single" w:sz="4" w:space="0" w:color="auto"/>
            </w:tcBorders>
          </w:tcPr>
          <w:p w14:paraId="1769E4F6"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54817E64" w14:textId="77777777" w:rsidR="00BF5079" w:rsidRPr="00361222" w:rsidRDefault="00BF5079" w:rsidP="00BF5079">
            <w:pPr>
              <w:spacing w:line="360" w:lineRule="auto"/>
              <w:rPr>
                <w:sz w:val="22"/>
                <w:szCs w:val="22"/>
              </w:rPr>
            </w:pPr>
          </w:p>
        </w:tc>
      </w:tr>
      <w:tr w:rsidR="00BF5079" w:rsidRPr="00361222" w14:paraId="1FF1CC6D" w14:textId="77777777" w:rsidTr="00540F44">
        <w:tc>
          <w:tcPr>
            <w:tcW w:w="2689" w:type="dxa"/>
            <w:vMerge/>
            <w:tcBorders>
              <w:left w:val="single" w:sz="4" w:space="0" w:color="auto"/>
              <w:right w:val="single" w:sz="4" w:space="0" w:color="auto"/>
            </w:tcBorders>
          </w:tcPr>
          <w:p w14:paraId="52406556" w14:textId="023C2B0A"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0B7C6911" w14:textId="17EF43B1" w:rsidR="00BF5079" w:rsidRPr="00361222" w:rsidRDefault="00BF5079" w:rsidP="00BF5079">
            <w:pPr>
              <w:rPr>
                <w:sz w:val="22"/>
                <w:szCs w:val="22"/>
              </w:rPr>
            </w:pPr>
            <w:r w:rsidRPr="00361222">
              <w:rPr>
                <w:sz w:val="22"/>
                <w:szCs w:val="22"/>
              </w:rPr>
              <w:t>Materiál stojanu nerez s povrchovou úpravou chemicky odolným lakem.</w:t>
            </w:r>
          </w:p>
        </w:tc>
        <w:tc>
          <w:tcPr>
            <w:tcW w:w="3402" w:type="dxa"/>
            <w:tcBorders>
              <w:top w:val="single" w:sz="4" w:space="0" w:color="auto"/>
              <w:left w:val="single" w:sz="4" w:space="0" w:color="auto"/>
              <w:bottom w:val="single" w:sz="4" w:space="0" w:color="auto"/>
              <w:right w:val="single" w:sz="4" w:space="0" w:color="auto"/>
            </w:tcBorders>
          </w:tcPr>
          <w:p w14:paraId="3ED755F7"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6609C5B0" w14:textId="77777777" w:rsidR="00BF5079" w:rsidRPr="00361222" w:rsidRDefault="00BF5079" w:rsidP="00BF5079">
            <w:pPr>
              <w:spacing w:line="360" w:lineRule="auto"/>
              <w:rPr>
                <w:sz w:val="22"/>
                <w:szCs w:val="22"/>
              </w:rPr>
            </w:pPr>
          </w:p>
        </w:tc>
      </w:tr>
      <w:tr w:rsidR="00BF5079" w:rsidRPr="00361222" w14:paraId="1EE7B18C" w14:textId="77777777" w:rsidTr="00540F44">
        <w:tc>
          <w:tcPr>
            <w:tcW w:w="2689" w:type="dxa"/>
            <w:vMerge/>
            <w:tcBorders>
              <w:left w:val="single" w:sz="4" w:space="0" w:color="auto"/>
              <w:right w:val="single" w:sz="4" w:space="0" w:color="auto"/>
            </w:tcBorders>
          </w:tcPr>
          <w:p w14:paraId="31FB6CBB" w14:textId="594BD627"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15870838" w14:textId="5104A5FB" w:rsidR="00BF5079" w:rsidRPr="00361222" w:rsidRDefault="00BF5079" w:rsidP="00BF5079">
            <w:pPr>
              <w:rPr>
                <w:sz w:val="22"/>
                <w:szCs w:val="22"/>
              </w:rPr>
            </w:pPr>
            <w:r w:rsidRPr="00361222">
              <w:rPr>
                <w:sz w:val="22"/>
                <w:szCs w:val="22"/>
              </w:rPr>
              <w:t>Rozvod vody v provedení z odolného plastu, umístěn na zadní stěně stojanu.</w:t>
            </w:r>
          </w:p>
        </w:tc>
        <w:tc>
          <w:tcPr>
            <w:tcW w:w="3402" w:type="dxa"/>
            <w:tcBorders>
              <w:top w:val="single" w:sz="4" w:space="0" w:color="auto"/>
              <w:left w:val="single" w:sz="4" w:space="0" w:color="auto"/>
              <w:bottom w:val="single" w:sz="4" w:space="0" w:color="auto"/>
              <w:right w:val="single" w:sz="4" w:space="0" w:color="auto"/>
            </w:tcBorders>
          </w:tcPr>
          <w:p w14:paraId="78530E5A"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255A93E0" w14:textId="77777777" w:rsidR="00BF5079" w:rsidRPr="00361222" w:rsidRDefault="00BF5079" w:rsidP="00BF5079">
            <w:pPr>
              <w:spacing w:line="360" w:lineRule="auto"/>
              <w:rPr>
                <w:sz w:val="22"/>
                <w:szCs w:val="22"/>
              </w:rPr>
            </w:pPr>
          </w:p>
        </w:tc>
      </w:tr>
      <w:tr w:rsidR="00BF5079" w:rsidRPr="00361222" w14:paraId="14E9A6E4" w14:textId="77777777" w:rsidTr="00540F44">
        <w:tc>
          <w:tcPr>
            <w:tcW w:w="2689" w:type="dxa"/>
            <w:vMerge/>
            <w:tcBorders>
              <w:left w:val="single" w:sz="4" w:space="0" w:color="auto"/>
              <w:right w:val="single" w:sz="4" w:space="0" w:color="auto"/>
            </w:tcBorders>
          </w:tcPr>
          <w:p w14:paraId="7F2DACCA" w14:textId="4D6386DD"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164ABB85" w14:textId="3A606F5E" w:rsidR="00BF5079" w:rsidRPr="00361222" w:rsidRDefault="00BF5079" w:rsidP="00BF5079">
            <w:pPr>
              <w:rPr>
                <w:sz w:val="22"/>
                <w:szCs w:val="22"/>
              </w:rPr>
            </w:pPr>
            <w:r w:rsidRPr="00361222">
              <w:rPr>
                <w:sz w:val="22"/>
                <w:szCs w:val="22"/>
              </w:rPr>
              <w:t>Rozvod vody umožňující připojení na tlakový zdroj vody i na nádrž upravené vody, stojan obsahuje pumpu, zajištující průtok vody akvárii pro případ napojení na netlakovou vodu.</w:t>
            </w:r>
          </w:p>
        </w:tc>
        <w:tc>
          <w:tcPr>
            <w:tcW w:w="3402" w:type="dxa"/>
            <w:tcBorders>
              <w:top w:val="single" w:sz="4" w:space="0" w:color="auto"/>
              <w:left w:val="single" w:sz="4" w:space="0" w:color="auto"/>
              <w:bottom w:val="single" w:sz="4" w:space="0" w:color="auto"/>
              <w:right w:val="single" w:sz="4" w:space="0" w:color="auto"/>
            </w:tcBorders>
          </w:tcPr>
          <w:p w14:paraId="4C0893CA"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001A8840" w14:textId="77777777" w:rsidR="00BF5079" w:rsidRPr="00361222" w:rsidRDefault="00BF5079" w:rsidP="00BF5079">
            <w:pPr>
              <w:spacing w:line="360" w:lineRule="auto"/>
              <w:rPr>
                <w:sz w:val="22"/>
                <w:szCs w:val="22"/>
              </w:rPr>
            </w:pPr>
          </w:p>
        </w:tc>
      </w:tr>
      <w:tr w:rsidR="00BF5079" w:rsidRPr="00361222" w14:paraId="483859E3" w14:textId="77777777" w:rsidTr="00540F44">
        <w:tc>
          <w:tcPr>
            <w:tcW w:w="2689" w:type="dxa"/>
            <w:vMerge/>
            <w:tcBorders>
              <w:left w:val="single" w:sz="4" w:space="0" w:color="auto"/>
              <w:right w:val="single" w:sz="4" w:space="0" w:color="auto"/>
            </w:tcBorders>
          </w:tcPr>
          <w:p w14:paraId="50C02F6D" w14:textId="77777777"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77E84342" w14:textId="209D332E" w:rsidR="00BF5079" w:rsidRPr="00361222" w:rsidRDefault="00BF5079" w:rsidP="00BF5079">
            <w:pPr>
              <w:rPr>
                <w:sz w:val="22"/>
                <w:szCs w:val="22"/>
              </w:rPr>
            </w:pPr>
            <w:r w:rsidRPr="00361222">
              <w:rPr>
                <w:sz w:val="22"/>
                <w:szCs w:val="22"/>
              </w:rPr>
              <w:t xml:space="preserve">Stojan obsahuje ventily pro manuální regulaci průtoku pro každé akvárium samostatně. Ventily pro regulaci průtoku zároveň vybaveny funkcí pro otevření/uzavření průtoku vody do každého akvária zvlášť. Uzavření průtoku pomocí ventilu má jednoznačnou viditelnou indikaci, že je průtok vody uzavřen. Regulace průtoku není řešena zaškrcováním průtočné hadice. </w:t>
            </w:r>
          </w:p>
        </w:tc>
        <w:tc>
          <w:tcPr>
            <w:tcW w:w="3402" w:type="dxa"/>
            <w:tcBorders>
              <w:top w:val="single" w:sz="4" w:space="0" w:color="auto"/>
              <w:left w:val="single" w:sz="4" w:space="0" w:color="auto"/>
              <w:bottom w:val="single" w:sz="4" w:space="0" w:color="auto"/>
              <w:right w:val="single" w:sz="4" w:space="0" w:color="auto"/>
            </w:tcBorders>
          </w:tcPr>
          <w:p w14:paraId="246932F0"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72D3F3AE" w14:textId="77777777" w:rsidR="00BF5079" w:rsidRPr="00361222" w:rsidRDefault="00BF5079" w:rsidP="00BF5079">
            <w:pPr>
              <w:spacing w:line="360" w:lineRule="auto"/>
              <w:rPr>
                <w:sz w:val="22"/>
                <w:szCs w:val="22"/>
              </w:rPr>
            </w:pPr>
          </w:p>
        </w:tc>
      </w:tr>
      <w:tr w:rsidR="00BF5079" w:rsidRPr="00361222" w14:paraId="311E26BE" w14:textId="77777777" w:rsidTr="00540F44">
        <w:tc>
          <w:tcPr>
            <w:tcW w:w="2689" w:type="dxa"/>
            <w:vMerge/>
            <w:tcBorders>
              <w:left w:val="single" w:sz="4" w:space="0" w:color="auto"/>
              <w:right w:val="single" w:sz="4" w:space="0" w:color="auto"/>
            </w:tcBorders>
          </w:tcPr>
          <w:p w14:paraId="4F06857E" w14:textId="77777777"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483C1408" w14:textId="49C130DF" w:rsidR="00BF5079" w:rsidRPr="00361222" w:rsidRDefault="00BF5079" w:rsidP="00BF5079">
            <w:pPr>
              <w:rPr>
                <w:sz w:val="22"/>
                <w:szCs w:val="22"/>
              </w:rPr>
            </w:pPr>
            <w:r w:rsidRPr="00361222">
              <w:rPr>
                <w:sz w:val="22"/>
                <w:szCs w:val="22"/>
              </w:rPr>
              <w:t xml:space="preserve">Rozvod vody ve stojanu rozdělen na tři nezávislé sekce, každá obsahující 3 akvária, s možností nezávisle řídit a programovat průtok vody každou sekcí. </w:t>
            </w:r>
          </w:p>
        </w:tc>
        <w:tc>
          <w:tcPr>
            <w:tcW w:w="3402" w:type="dxa"/>
            <w:tcBorders>
              <w:top w:val="single" w:sz="4" w:space="0" w:color="auto"/>
              <w:left w:val="single" w:sz="4" w:space="0" w:color="auto"/>
              <w:bottom w:val="single" w:sz="4" w:space="0" w:color="auto"/>
              <w:right w:val="single" w:sz="4" w:space="0" w:color="auto"/>
            </w:tcBorders>
          </w:tcPr>
          <w:p w14:paraId="43D947E7"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01A85053" w14:textId="77777777" w:rsidR="00BF5079" w:rsidRPr="00361222" w:rsidRDefault="00BF5079" w:rsidP="00BF5079">
            <w:pPr>
              <w:spacing w:line="360" w:lineRule="auto"/>
              <w:rPr>
                <w:sz w:val="22"/>
                <w:szCs w:val="22"/>
              </w:rPr>
            </w:pPr>
          </w:p>
        </w:tc>
      </w:tr>
      <w:tr w:rsidR="00BF5079" w:rsidRPr="00361222" w14:paraId="37A0BF1C" w14:textId="77777777" w:rsidTr="00540F44">
        <w:tc>
          <w:tcPr>
            <w:tcW w:w="2689" w:type="dxa"/>
            <w:vMerge/>
            <w:tcBorders>
              <w:left w:val="single" w:sz="4" w:space="0" w:color="auto"/>
              <w:right w:val="single" w:sz="4" w:space="0" w:color="auto"/>
            </w:tcBorders>
          </w:tcPr>
          <w:p w14:paraId="6CC10F67" w14:textId="77777777"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4578D997" w14:textId="6C0FD864" w:rsidR="00BF5079" w:rsidRPr="00361222" w:rsidRDefault="00BF5079" w:rsidP="00BF5079">
            <w:pPr>
              <w:rPr>
                <w:sz w:val="22"/>
                <w:szCs w:val="22"/>
              </w:rPr>
            </w:pPr>
            <w:r w:rsidRPr="00361222">
              <w:rPr>
                <w:sz w:val="22"/>
                <w:szCs w:val="22"/>
              </w:rPr>
              <w:t>Stojan vybaven přemístitelnou podpěrou (poličkou) pro vysunutí jednoho akvária z pozice stojanu nejméně z</w:t>
            </w:r>
            <w:r w:rsidR="00A17E60" w:rsidRPr="00361222">
              <w:rPr>
                <w:sz w:val="22"/>
                <w:szCs w:val="22"/>
              </w:rPr>
              <w:t> </w:t>
            </w:r>
            <w:proofErr w:type="gramStart"/>
            <w:r w:rsidRPr="00361222">
              <w:rPr>
                <w:sz w:val="22"/>
                <w:szCs w:val="22"/>
              </w:rPr>
              <w:t>50</w:t>
            </w:r>
            <w:r w:rsidR="00A17E60" w:rsidRPr="00361222">
              <w:rPr>
                <w:sz w:val="22"/>
                <w:szCs w:val="22"/>
              </w:rPr>
              <w:t>ti</w:t>
            </w:r>
            <w:proofErr w:type="gramEnd"/>
            <w:r w:rsidRPr="00361222">
              <w:rPr>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48405F21"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688E56B1" w14:textId="77777777" w:rsidR="00BF5079" w:rsidRPr="00361222" w:rsidRDefault="00BF5079" w:rsidP="00BF5079">
            <w:pPr>
              <w:spacing w:line="360" w:lineRule="auto"/>
              <w:rPr>
                <w:sz w:val="22"/>
                <w:szCs w:val="22"/>
              </w:rPr>
            </w:pPr>
          </w:p>
        </w:tc>
      </w:tr>
      <w:tr w:rsidR="00BF5079" w:rsidRPr="00361222" w14:paraId="616BCB2A" w14:textId="77777777" w:rsidTr="00540F44">
        <w:tc>
          <w:tcPr>
            <w:tcW w:w="2689" w:type="dxa"/>
            <w:vMerge/>
            <w:tcBorders>
              <w:left w:val="single" w:sz="4" w:space="0" w:color="auto"/>
              <w:right w:val="single" w:sz="4" w:space="0" w:color="auto"/>
            </w:tcBorders>
          </w:tcPr>
          <w:p w14:paraId="2CD063D9" w14:textId="77777777"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51934B08" w14:textId="303617C2" w:rsidR="00BF5079" w:rsidRPr="00361222" w:rsidRDefault="00BF5079" w:rsidP="00BF5079">
            <w:pPr>
              <w:rPr>
                <w:sz w:val="22"/>
                <w:szCs w:val="22"/>
              </w:rPr>
            </w:pPr>
            <w:r w:rsidRPr="00361222">
              <w:rPr>
                <w:sz w:val="22"/>
                <w:szCs w:val="22"/>
              </w:rPr>
              <w:t>Stojan vybaven stavitelnými nožkami.</w:t>
            </w:r>
          </w:p>
        </w:tc>
        <w:tc>
          <w:tcPr>
            <w:tcW w:w="3402" w:type="dxa"/>
            <w:tcBorders>
              <w:top w:val="single" w:sz="4" w:space="0" w:color="auto"/>
              <w:left w:val="single" w:sz="4" w:space="0" w:color="auto"/>
              <w:bottom w:val="single" w:sz="4" w:space="0" w:color="auto"/>
              <w:right w:val="single" w:sz="4" w:space="0" w:color="auto"/>
            </w:tcBorders>
          </w:tcPr>
          <w:p w14:paraId="1AB24B86"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45081072" w14:textId="77777777" w:rsidR="00BF5079" w:rsidRPr="00361222" w:rsidRDefault="00BF5079" w:rsidP="00BF5079">
            <w:pPr>
              <w:spacing w:line="360" w:lineRule="auto"/>
              <w:rPr>
                <w:sz w:val="22"/>
                <w:szCs w:val="22"/>
              </w:rPr>
            </w:pPr>
          </w:p>
        </w:tc>
      </w:tr>
      <w:tr w:rsidR="00BF5079" w:rsidRPr="00361222" w14:paraId="25414E4E" w14:textId="77777777" w:rsidTr="00540F44">
        <w:tc>
          <w:tcPr>
            <w:tcW w:w="2689" w:type="dxa"/>
            <w:vMerge/>
            <w:tcBorders>
              <w:left w:val="single" w:sz="4" w:space="0" w:color="auto"/>
              <w:bottom w:val="single" w:sz="4" w:space="0" w:color="auto"/>
              <w:right w:val="single" w:sz="4" w:space="0" w:color="auto"/>
            </w:tcBorders>
          </w:tcPr>
          <w:p w14:paraId="7F5DFDB8" w14:textId="77777777"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263A4764" w14:textId="32CC2887" w:rsidR="00BF5079" w:rsidRPr="00361222" w:rsidRDefault="00BF5079" w:rsidP="00BF5079">
            <w:pPr>
              <w:ind w:left="29"/>
              <w:rPr>
                <w:sz w:val="22"/>
                <w:szCs w:val="22"/>
              </w:rPr>
            </w:pPr>
            <w:r w:rsidRPr="00361222">
              <w:rPr>
                <w:sz w:val="22"/>
                <w:szCs w:val="22"/>
              </w:rPr>
              <w:t>Maximální rozměry stojanu včetně řídící jednotky (š x h x v)</w:t>
            </w:r>
            <w:r w:rsidR="00A17E60" w:rsidRPr="00361222">
              <w:rPr>
                <w:sz w:val="22"/>
                <w:szCs w:val="22"/>
              </w:rPr>
              <w:t>:</w:t>
            </w:r>
            <w:r w:rsidRPr="00361222">
              <w:rPr>
                <w:sz w:val="22"/>
                <w:szCs w:val="22"/>
              </w:rPr>
              <w:t xml:space="preserve"> 1800 x 800 x 2000 mm. Výška horní řady akvárií maximálně 1500 mm (měřeno ke dnu akvária). </w:t>
            </w:r>
          </w:p>
          <w:p w14:paraId="53DB7886" w14:textId="24D19FF8" w:rsidR="00BF5079" w:rsidRPr="00361222" w:rsidRDefault="00BF5079" w:rsidP="00BF5079">
            <w:pPr>
              <w:rPr>
                <w:sz w:val="22"/>
                <w:szCs w:val="22"/>
              </w:rPr>
            </w:pPr>
            <w:r w:rsidRPr="00361222">
              <w:rPr>
                <w:sz w:val="22"/>
                <w:szCs w:val="22"/>
              </w:rPr>
              <w:lastRenderedPageBreak/>
              <w:t>Rozměry jsou včetně akvárií; akvária a jejich víka nesmí přesahovat půdorys stojanů.</w:t>
            </w:r>
          </w:p>
        </w:tc>
        <w:tc>
          <w:tcPr>
            <w:tcW w:w="3402" w:type="dxa"/>
            <w:tcBorders>
              <w:top w:val="single" w:sz="4" w:space="0" w:color="auto"/>
              <w:left w:val="single" w:sz="4" w:space="0" w:color="auto"/>
              <w:bottom w:val="single" w:sz="4" w:space="0" w:color="auto"/>
              <w:right w:val="single" w:sz="4" w:space="0" w:color="auto"/>
            </w:tcBorders>
          </w:tcPr>
          <w:p w14:paraId="25AB901D"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41C45D6F" w14:textId="77777777" w:rsidR="00BF5079" w:rsidRPr="00361222" w:rsidRDefault="00BF5079" w:rsidP="00BF5079">
            <w:pPr>
              <w:spacing w:line="360" w:lineRule="auto"/>
              <w:rPr>
                <w:sz w:val="22"/>
                <w:szCs w:val="22"/>
              </w:rPr>
            </w:pPr>
          </w:p>
        </w:tc>
      </w:tr>
      <w:tr w:rsidR="00BF5079" w:rsidRPr="00361222" w14:paraId="76DBB778" w14:textId="77777777" w:rsidTr="006F359F">
        <w:tc>
          <w:tcPr>
            <w:tcW w:w="2689" w:type="dxa"/>
            <w:tcBorders>
              <w:top w:val="single" w:sz="4" w:space="0" w:color="auto"/>
              <w:left w:val="single" w:sz="4" w:space="0" w:color="auto"/>
              <w:bottom w:val="single" w:sz="4" w:space="0" w:color="auto"/>
              <w:right w:val="single" w:sz="4" w:space="0" w:color="auto"/>
            </w:tcBorders>
          </w:tcPr>
          <w:p w14:paraId="5565DE27" w14:textId="77777777" w:rsidR="00BF5079" w:rsidRPr="00361222" w:rsidRDefault="00BF5079"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40085383" w14:textId="77777777" w:rsidR="00BF5079" w:rsidRPr="00361222" w:rsidRDefault="00BF5079" w:rsidP="00BF5079">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A789E29" w14:textId="77777777" w:rsidR="00BF5079" w:rsidRPr="00361222" w:rsidRDefault="00BF5079"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20584F02" w14:textId="77777777" w:rsidR="00BF5079" w:rsidRPr="00361222" w:rsidRDefault="00BF5079" w:rsidP="00BF5079">
            <w:pPr>
              <w:spacing w:line="360" w:lineRule="auto"/>
              <w:rPr>
                <w:sz w:val="22"/>
                <w:szCs w:val="22"/>
              </w:rPr>
            </w:pPr>
          </w:p>
        </w:tc>
      </w:tr>
      <w:tr w:rsidR="00E30CC7" w:rsidRPr="00361222" w14:paraId="0D85DE51" w14:textId="77777777" w:rsidTr="008B1590">
        <w:tc>
          <w:tcPr>
            <w:tcW w:w="2689" w:type="dxa"/>
            <w:vMerge w:val="restart"/>
            <w:tcBorders>
              <w:top w:val="single" w:sz="4" w:space="0" w:color="auto"/>
              <w:left w:val="single" w:sz="4" w:space="0" w:color="auto"/>
              <w:right w:val="single" w:sz="4" w:space="0" w:color="auto"/>
            </w:tcBorders>
          </w:tcPr>
          <w:p w14:paraId="4125687F" w14:textId="758DE1F6" w:rsidR="00E30CC7" w:rsidRPr="00361222" w:rsidRDefault="00E30CC7" w:rsidP="00BF5079">
            <w:pPr>
              <w:spacing w:line="360" w:lineRule="auto"/>
              <w:rPr>
                <w:sz w:val="22"/>
                <w:szCs w:val="22"/>
              </w:rPr>
            </w:pPr>
            <w:r w:rsidRPr="00361222">
              <w:rPr>
                <w:b/>
                <w:bCs/>
                <w:sz w:val="22"/>
                <w:szCs w:val="22"/>
              </w:rPr>
              <w:t>Akvária</w:t>
            </w:r>
          </w:p>
        </w:tc>
        <w:tc>
          <w:tcPr>
            <w:tcW w:w="6095" w:type="dxa"/>
            <w:tcBorders>
              <w:top w:val="single" w:sz="4" w:space="0" w:color="auto"/>
              <w:left w:val="single" w:sz="4" w:space="0" w:color="auto"/>
              <w:bottom w:val="single" w:sz="4" w:space="0" w:color="auto"/>
              <w:right w:val="single" w:sz="4" w:space="0" w:color="auto"/>
            </w:tcBorders>
            <w:vAlign w:val="center"/>
          </w:tcPr>
          <w:p w14:paraId="5326B032" w14:textId="5D3B93F7" w:rsidR="00E30CC7" w:rsidRPr="00361222" w:rsidRDefault="00E30CC7" w:rsidP="00BF5079">
            <w:pPr>
              <w:rPr>
                <w:sz w:val="22"/>
                <w:szCs w:val="22"/>
              </w:rPr>
            </w:pPr>
            <w:r w:rsidRPr="00361222">
              <w:rPr>
                <w:sz w:val="22"/>
                <w:szCs w:val="22"/>
              </w:rPr>
              <w:t>Akvária o kapacitě 25 až 30 l a ploše 2050 cm</w:t>
            </w:r>
            <w:r w:rsidRPr="00361222">
              <w:rPr>
                <w:sz w:val="22"/>
                <w:szCs w:val="22"/>
                <w:vertAlign w:val="superscript"/>
              </w:rPr>
              <w:t>2</w:t>
            </w:r>
            <w:r w:rsidRPr="00361222">
              <w:rPr>
                <w:sz w:val="22"/>
                <w:szCs w:val="22"/>
              </w:rPr>
              <w:t xml:space="preserve"> až 2200 cm</w:t>
            </w:r>
            <w:r w:rsidRPr="00361222">
              <w:rPr>
                <w:sz w:val="22"/>
                <w:szCs w:val="22"/>
                <w:vertAlign w:val="superscript"/>
              </w:rPr>
              <w:t>2</w:t>
            </w:r>
            <w:r w:rsidR="00A17E60" w:rsidRPr="00361222">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E4242C3" w14:textId="77777777" w:rsidR="00E30CC7" w:rsidRPr="00361222" w:rsidRDefault="00E30CC7"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1F07E917" w14:textId="77777777" w:rsidR="00E30CC7" w:rsidRPr="00361222" w:rsidRDefault="00E30CC7" w:rsidP="00BF5079">
            <w:pPr>
              <w:spacing w:line="360" w:lineRule="auto"/>
              <w:rPr>
                <w:sz w:val="22"/>
                <w:szCs w:val="22"/>
              </w:rPr>
            </w:pPr>
          </w:p>
        </w:tc>
      </w:tr>
      <w:tr w:rsidR="00E30CC7" w:rsidRPr="00361222" w14:paraId="1CCF1BE0" w14:textId="77777777" w:rsidTr="008B1590">
        <w:tc>
          <w:tcPr>
            <w:tcW w:w="2689" w:type="dxa"/>
            <w:vMerge/>
            <w:tcBorders>
              <w:left w:val="single" w:sz="4" w:space="0" w:color="auto"/>
              <w:right w:val="single" w:sz="4" w:space="0" w:color="auto"/>
            </w:tcBorders>
          </w:tcPr>
          <w:p w14:paraId="63AE7D6D" w14:textId="77777777" w:rsidR="00E30CC7" w:rsidRPr="00361222" w:rsidRDefault="00E30CC7"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380E9AAF" w14:textId="5B5AC119" w:rsidR="00E30CC7" w:rsidRPr="00361222" w:rsidRDefault="00E30CC7" w:rsidP="00BF5079">
            <w:pPr>
              <w:rPr>
                <w:sz w:val="22"/>
                <w:szCs w:val="22"/>
              </w:rPr>
            </w:pPr>
            <w:r w:rsidRPr="00361222">
              <w:rPr>
                <w:sz w:val="22"/>
                <w:szCs w:val="22"/>
              </w:rPr>
              <w:t>Tělo akvária z transparentního polykarbonátu s tónováním do hnědé pro zajištění odpovídajícího chovného prostředí.</w:t>
            </w:r>
            <w:r w:rsidR="00A17E60" w:rsidRPr="00361222">
              <w:rPr>
                <w:sz w:val="22"/>
                <w:szCs w:val="22"/>
              </w:rPr>
              <w:t xml:space="preserve"> Akvária bezespárá, bez svárů, lisovaná se skosenými stěnami a zaoblenými rohy pro eliminaci usazenin.</w:t>
            </w:r>
          </w:p>
        </w:tc>
        <w:tc>
          <w:tcPr>
            <w:tcW w:w="3402" w:type="dxa"/>
            <w:tcBorders>
              <w:top w:val="single" w:sz="4" w:space="0" w:color="auto"/>
              <w:left w:val="single" w:sz="4" w:space="0" w:color="auto"/>
              <w:bottom w:val="single" w:sz="4" w:space="0" w:color="auto"/>
              <w:right w:val="single" w:sz="4" w:space="0" w:color="auto"/>
            </w:tcBorders>
          </w:tcPr>
          <w:p w14:paraId="23510E7B" w14:textId="77777777" w:rsidR="00E30CC7" w:rsidRPr="00361222" w:rsidRDefault="00E30CC7"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77A55587" w14:textId="77777777" w:rsidR="00E30CC7" w:rsidRPr="00361222" w:rsidRDefault="00E30CC7" w:rsidP="00BF5079">
            <w:pPr>
              <w:spacing w:line="360" w:lineRule="auto"/>
              <w:rPr>
                <w:sz w:val="22"/>
                <w:szCs w:val="22"/>
              </w:rPr>
            </w:pPr>
          </w:p>
        </w:tc>
      </w:tr>
      <w:tr w:rsidR="00E30CC7" w:rsidRPr="00361222" w14:paraId="76EBD689" w14:textId="77777777" w:rsidTr="008B1590">
        <w:tc>
          <w:tcPr>
            <w:tcW w:w="2689" w:type="dxa"/>
            <w:vMerge/>
            <w:tcBorders>
              <w:left w:val="single" w:sz="4" w:space="0" w:color="auto"/>
              <w:right w:val="single" w:sz="4" w:space="0" w:color="auto"/>
            </w:tcBorders>
          </w:tcPr>
          <w:p w14:paraId="506D0F5B" w14:textId="77777777" w:rsidR="00E30CC7" w:rsidRPr="00361222" w:rsidRDefault="00E30CC7"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02F2EBA1" w14:textId="2721302B" w:rsidR="00E30CC7" w:rsidRPr="00361222" w:rsidRDefault="00E30CC7" w:rsidP="00BF5079">
            <w:pPr>
              <w:rPr>
                <w:sz w:val="22"/>
                <w:szCs w:val="22"/>
              </w:rPr>
            </w:pPr>
            <w:r w:rsidRPr="00361222">
              <w:rPr>
                <w:sz w:val="22"/>
                <w:szCs w:val="22"/>
              </w:rPr>
              <w:t xml:space="preserve">Akvária vybavena automatickým odtokem pomocí sifonu </w:t>
            </w:r>
            <w:r w:rsidR="00567475" w:rsidRPr="00361222">
              <w:rPr>
                <w:sz w:val="22"/>
                <w:szCs w:val="22"/>
              </w:rPr>
              <w:t>s</w:t>
            </w:r>
            <w:r w:rsidRPr="00361222">
              <w:rPr>
                <w:sz w:val="22"/>
                <w:szCs w:val="22"/>
              </w:rPr>
              <w:t xml:space="preserve"> odtokem ode dna akvária, konstrukce sifonu zajišťuje hladinu hloubky 16 až 21 cm, sifon vybaven přepadem pro případ zanesení sání sifonu. Sifon řešen tak, aby znemožňoval nasátí chovaných zvířat. Součástí sifonu snadno násuvný kryt pro uzavření spodních odsávacích otvorů. </w:t>
            </w:r>
          </w:p>
        </w:tc>
        <w:tc>
          <w:tcPr>
            <w:tcW w:w="3402" w:type="dxa"/>
            <w:tcBorders>
              <w:top w:val="single" w:sz="4" w:space="0" w:color="auto"/>
              <w:left w:val="single" w:sz="4" w:space="0" w:color="auto"/>
              <w:bottom w:val="single" w:sz="4" w:space="0" w:color="auto"/>
              <w:right w:val="single" w:sz="4" w:space="0" w:color="auto"/>
            </w:tcBorders>
          </w:tcPr>
          <w:p w14:paraId="3C464399" w14:textId="77777777" w:rsidR="00E30CC7" w:rsidRPr="00361222" w:rsidRDefault="00E30CC7"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6E9C22B1" w14:textId="77777777" w:rsidR="00E30CC7" w:rsidRPr="00361222" w:rsidRDefault="00E30CC7" w:rsidP="00BF5079">
            <w:pPr>
              <w:spacing w:line="360" w:lineRule="auto"/>
              <w:rPr>
                <w:sz w:val="22"/>
                <w:szCs w:val="22"/>
              </w:rPr>
            </w:pPr>
          </w:p>
        </w:tc>
      </w:tr>
      <w:tr w:rsidR="00E30CC7" w:rsidRPr="00361222" w14:paraId="7AB4C4D0" w14:textId="77777777" w:rsidTr="008B1590">
        <w:tc>
          <w:tcPr>
            <w:tcW w:w="2689" w:type="dxa"/>
            <w:vMerge/>
            <w:tcBorders>
              <w:left w:val="single" w:sz="4" w:space="0" w:color="auto"/>
              <w:right w:val="single" w:sz="4" w:space="0" w:color="auto"/>
            </w:tcBorders>
          </w:tcPr>
          <w:p w14:paraId="509237E2" w14:textId="77777777" w:rsidR="00E30CC7" w:rsidRPr="00361222" w:rsidRDefault="00E30CC7"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1476CB85" w14:textId="5D3A1FAD" w:rsidR="00E30CC7" w:rsidRPr="00361222" w:rsidRDefault="00E30CC7" w:rsidP="00BF5079">
            <w:pPr>
              <w:rPr>
                <w:sz w:val="22"/>
                <w:szCs w:val="22"/>
              </w:rPr>
            </w:pPr>
            <w:r w:rsidRPr="00361222">
              <w:rPr>
                <w:sz w:val="22"/>
                <w:szCs w:val="22"/>
              </w:rPr>
              <w:t>Každé akvárium může stabilně stát, a to jak v pracovní pozici ve stojanu, tak samostatně mimo stojan.</w:t>
            </w:r>
          </w:p>
        </w:tc>
        <w:tc>
          <w:tcPr>
            <w:tcW w:w="3402" w:type="dxa"/>
            <w:tcBorders>
              <w:top w:val="single" w:sz="4" w:space="0" w:color="auto"/>
              <w:left w:val="single" w:sz="4" w:space="0" w:color="auto"/>
              <w:bottom w:val="single" w:sz="4" w:space="0" w:color="auto"/>
              <w:right w:val="single" w:sz="4" w:space="0" w:color="auto"/>
            </w:tcBorders>
          </w:tcPr>
          <w:p w14:paraId="2C6A6ECE" w14:textId="77777777" w:rsidR="00E30CC7" w:rsidRPr="00361222" w:rsidRDefault="00E30CC7"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0A29A53D" w14:textId="77777777" w:rsidR="00E30CC7" w:rsidRPr="00361222" w:rsidRDefault="00E30CC7" w:rsidP="00BF5079">
            <w:pPr>
              <w:spacing w:line="360" w:lineRule="auto"/>
              <w:rPr>
                <w:sz w:val="22"/>
                <w:szCs w:val="22"/>
              </w:rPr>
            </w:pPr>
          </w:p>
        </w:tc>
      </w:tr>
      <w:tr w:rsidR="00E30CC7" w:rsidRPr="00361222" w14:paraId="19B87AF7" w14:textId="77777777" w:rsidTr="008B1590">
        <w:tc>
          <w:tcPr>
            <w:tcW w:w="2689" w:type="dxa"/>
            <w:vMerge/>
            <w:tcBorders>
              <w:left w:val="single" w:sz="4" w:space="0" w:color="auto"/>
              <w:right w:val="single" w:sz="4" w:space="0" w:color="auto"/>
            </w:tcBorders>
          </w:tcPr>
          <w:p w14:paraId="39809294" w14:textId="77777777" w:rsidR="00E30CC7" w:rsidRPr="00361222" w:rsidRDefault="00E30CC7"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1483FFA0" w14:textId="0AAC2F8B" w:rsidR="00E30CC7" w:rsidRPr="00361222" w:rsidRDefault="00E30CC7" w:rsidP="00BF5079">
            <w:pPr>
              <w:rPr>
                <w:sz w:val="22"/>
                <w:szCs w:val="22"/>
              </w:rPr>
            </w:pPr>
            <w:r w:rsidRPr="00361222">
              <w:rPr>
                <w:sz w:val="22"/>
                <w:szCs w:val="22"/>
              </w:rPr>
              <w:t>Akvária vybavena posuvným děleným perforovaným víkem ze shodného materiálu jako akvárium (transparentní</w:t>
            </w:r>
            <w:r w:rsidR="00567475" w:rsidRPr="00361222">
              <w:rPr>
                <w:sz w:val="22"/>
                <w:szCs w:val="22"/>
              </w:rPr>
              <w:t>ho</w:t>
            </w:r>
            <w:r w:rsidRPr="00361222">
              <w:rPr>
                <w:sz w:val="22"/>
                <w:szCs w:val="22"/>
              </w:rPr>
              <w:t xml:space="preserve"> polykarbonátu s tónováním do světle hnědé). Víko akvária s průchodem pro přítok vody do akvária a možností krmení bez potřeby jeho odnímání. Víko zajištěné proti sklouznutí a nadzvednutí, vyjímatelné a dělené na dvě části s možnost</w:t>
            </w:r>
            <w:r w:rsidR="00567475" w:rsidRPr="00361222">
              <w:rPr>
                <w:sz w:val="22"/>
                <w:szCs w:val="22"/>
              </w:rPr>
              <w:t>í</w:t>
            </w:r>
            <w:r w:rsidRPr="00361222">
              <w:rPr>
                <w:sz w:val="22"/>
                <w:szCs w:val="22"/>
              </w:rPr>
              <w:t xml:space="preserve"> odsunutí jedné části pod druhou pro umožnění přístupu do akvária, symetricky z obou stran akvária.  </w:t>
            </w:r>
          </w:p>
        </w:tc>
        <w:tc>
          <w:tcPr>
            <w:tcW w:w="3402" w:type="dxa"/>
            <w:tcBorders>
              <w:top w:val="single" w:sz="4" w:space="0" w:color="auto"/>
              <w:left w:val="single" w:sz="4" w:space="0" w:color="auto"/>
              <w:bottom w:val="single" w:sz="4" w:space="0" w:color="auto"/>
              <w:right w:val="single" w:sz="4" w:space="0" w:color="auto"/>
            </w:tcBorders>
          </w:tcPr>
          <w:p w14:paraId="26F25805" w14:textId="77777777" w:rsidR="00E30CC7" w:rsidRPr="00361222" w:rsidRDefault="00E30CC7"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3A2788D1" w14:textId="77777777" w:rsidR="00E30CC7" w:rsidRPr="00361222" w:rsidRDefault="00E30CC7" w:rsidP="00BF5079">
            <w:pPr>
              <w:spacing w:line="360" w:lineRule="auto"/>
              <w:rPr>
                <w:sz w:val="22"/>
                <w:szCs w:val="22"/>
              </w:rPr>
            </w:pPr>
          </w:p>
        </w:tc>
      </w:tr>
      <w:tr w:rsidR="00E30CC7" w:rsidRPr="00361222" w14:paraId="53CC3993" w14:textId="77777777" w:rsidTr="008B1590">
        <w:tc>
          <w:tcPr>
            <w:tcW w:w="2689" w:type="dxa"/>
            <w:vMerge/>
            <w:tcBorders>
              <w:left w:val="single" w:sz="4" w:space="0" w:color="auto"/>
              <w:bottom w:val="single" w:sz="4" w:space="0" w:color="auto"/>
              <w:right w:val="single" w:sz="4" w:space="0" w:color="auto"/>
            </w:tcBorders>
          </w:tcPr>
          <w:p w14:paraId="36C1A804" w14:textId="77777777" w:rsidR="00E30CC7" w:rsidRPr="00361222" w:rsidRDefault="00E30CC7"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3E5768A3" w14:textId="45AA460E" w:rsidR="00E30CC7" w:rsidRPr="00361222" w:rsidRDefault="00E30CC7" w:rsidP="00BF5079">
            <w:pPr>
              <w:spacing w:line="360" w:lineRule="auto"/>
              <w:rPr>
                <w:sz w:val="22"/>
                <w:szCs w:val="22"/>
              </w:rPr>
            </w:pPr>
            <w:r w:rsidRPr="00361222">
              <w:rPr>
                <w:sz w:val="22"/>
                <w:szCs w:val="22"/>
              </w:rPr>
              <w:t>Součástí dodávky stojanu 9 kompletně vybavených akvárií.</w:t>
            </w:r>
          </w:p>
        </w:tc>
        <w:tc>
          <w:tcPr>
            <w:tcW w:w="3402" w:type="dxa"/>
            <w:tcBorders>
              <w:top w:val="single" w:sz="4" w:space="0" w:color="auto"/>
              <w:left w:val="single" w:sz="4" w:space="0" w:color="auto"/>
              <w:bottom w:val="single" w:sz="4" w:space="0" w:color="auto"/>
              <w:right w:val="single" w:sz="4" w:space="0" w:color="auto"/>
            </w:tcBorders>
          </w:tcPr>
          <w:p w14:paraId="3A55FE1F" w14:textId="77777777" w:rsidR="00E30CC7" w:rsidRPr="00361222" w:rsidRDefault="00E30CC7"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1002BAFD" w14:textId="77777777" w:rsidR="00E30CC7" w:rsidRPr="00361222" w:rsidRDefault="00E30CC7" w:rsidP="00BF5079">
            <w:pPr>
              <w:spacing w:line="360" w:lineRule="auto"/>
              <w:rPr>
                <w:sz w:val="22"/>
                <w:szCs w:val="22"/>
              </w:rPr>
            </w:pPr>
          </w:p>
        </w:tc>
      </w:tr>
      <w:tr w:rsidR="00E30CC7" w:rsidRPr="00361222" w14:paraId="64E1167F" w14:textId="77777777" w:rsidTr="006F359F">
        <w:tc>
          <w:tcPr>
            <w:tcW w:w="2689" w:type="dxa"/>
            <w:tcBorders>
              <w:top w:val="single" w:sz="4" w:space="0" w:color="auto"/>
              <w:left w:val="single" w:sz="4" w:space="0" w:color="auto"/>
              <w:bottom w:val="single" w:sz="4" w:space="0" w:color="auto"/>
              <w:right w:val="single" w:sz="4" w:space="0" w:color="auto"/>
            </w:tcBorders>
          </w:tcPr>
          <w:p w14:paraId="04D41FD5" w14:textId="77777777" w:rsidR="00E30CC7" w:rsidRPr="00361222" w:rsidRDefault="00E30CC7" w:rsidP="00BF5079">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58D5CEEF" w14:textId="77777777" w:rsidR="00E30CC7" w:rsidRPr="00361222" w:rsidRDefault="00E30CC7" w:rsidP="00BF5079">
            <w:pPr>
              <w:spacing w:line="360" w:lineRule="auto"/>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D7079E5" w14:textId="77777777" w:rsidR="00E30CC7" w:rsidRPr="00361222" w:rsidRDefault="00E30CC7" w:rsidP="00BF5079">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7F01031B" w14:textId="77777777" w:rsidR="00E30CC7" w:rsidRPr="00361222" w:rsidRDefault="00E30CC7" w:rsidP="00BF5079">
            <w:pPr>
              <w:spacing w:line="360" w:lineRule="auto"/>
              <w:rPr>
                <w:sz w:val="22"/>
                <w:szCs w:val="22"/>
              </w:rPr>
            </w:pPr>
          </w:p>
        </w:tc>
      </w:tr>
      <w:tr w:rsidR="00E60267" w:rsidRPr="00361222" w14:paraId="2B7772D8" w14:textId="77777777" w:rsidTr="00304FC9">
        <w:tc>
          <w:tcPr>
            <w:tcW w:w="2689" w:type="dxa"/>
            <w:vMerge w:val="restart"/>
            <w:tcBorders>
              <w:top w:val="single" w:sz="4" w:space="0" w:color="auto"/>
              <w:left w:val="single" w:sz="4" w:space="0" w:color="auto"/>
              <w:right w:val="single" w:sz="4" w:space="0" w:color="auto"/>
            </w:tcBorders>
          </w:tcPr>
          <w:p w14:paraId="191F1207" w14:textId="5C2BF88F" w:rsidR="00E60267" w:rsidRPr="00361222" w:rsidRDefault="00E60267" w:rsidP="00E30CC7">
            <w:pPr>
              <w:rPr>
                <w:b/>
                <w:bCs/>
                <w:sz w:val="22"/>
                <w:szCs w:val="22"/>
              </w:rPr>
            </w:pPr>
            <w:r w:rsidRPr="00361222">
              <w:rPr>
                <w:b/>
                <w:bCs/>
                <w:sz w:val="22"/>
                <w:szCs w:val="22"/>
              </w:rPr>
              <w:t>Rozvod vody do akvárií s programovatelným řízením s automatickým dávkováním chemikálií</w:t>
            </w:r>
          </w:p>
        </w:tc>
        <w:tc>
          <w:tcPr>
            <w:tcW w:w="6095" w:type="dxa"/>
            <w:tcBorders>
              <w:top w:val="single" w:sz="4" w:space="0" w:color="auto"/>
              <w:left w:val="single" w:sz="4" w:space="0" w:color="auto"/>
              <w:bottom w:val="single" w:sz="4" w:space="0" w:color="auto"/>
              <w:right w:val="single" w:sz="4" w:space="0" w:color="auto"/>
            </w:tcBorders>
            <w:vAlign w:val="center"/>
          </w:tcPr>
          <w:p w14:paraId="5803430D" w14:textId="77F51754" w:rsidR="00E60267" w:rsidRPr="00361222" w:rsidRDefault="00E60267" w:rsidP="00E30CC7">
            <w:pPr>
              <w:rPr>
                <w:sz w:val="22"/>
                <w:szCs w:val="22"/>
              </w:rPr>
            </w:pPr>
            <w:r w:rsidRPr="00361222">
              <w:rPr>
                <w:sz w:val="22"/>
                <w:szCs w:val="22"/>
              </w:rPr>
              <w:t>Systém pomocí pumpy a ventilů zajišťuje opakovanou výměnu v nastavitelném rozsahu 0 až 20 výměn vody v každém akváriu za 24 hod.</w:t>
            </w:r>
          </w:p>
        </w:tc>
        <w:tc>
          <w:tcPr>
            <w:tcW w:w="3402" w:type="dxa"/>
            <w:tcBorders>
              <w:top w:val="single" w:sz="4" w:space="0" w:color="auto"/>
              <w:left w:val="single" w:sz="4" w:space="0" w:color="auto"/>
              <w:bottom w:val="single" w:sz="4" w:space="0" w:color="auto"/>
              <w:right w:val="single" w:sz="4" w:space="0" w:color="auto"/>
            </w:tcBorders>
          </w:tcPr>
          <w:p w14:paraId="10301F85"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2135E3F8" w14:textId="77777777" w:rsidR="00E60267" w:rsidRPr="00361222" w:rsidRDefault="00E60267" w:rsidP="00E30CC7">
            <w:pPr>
              <w:spacing w:line="360" w:lineRule="auto"/>
              <w:rPr>
                <w:sz w:val="22"/>
                <w:szCs w:val="22"/>
              </w:rPr>
            </w:pPr>
          </w:p>
        </w:tc>
      </w:tr>
      <w:tr w:rsidR="00E60267" w:rsidRPr="00361222" w14:paraId="2385C5B8" w14:textId="77777777" w:rsidTr="00304FC9">
        <w:tc>
          <w:tcPr>
            <w:tcW w:w="2689" w:type="dxa"/>
            <w:vMerge/>
            <w:tcBorders>
              <w:left w:val="single" w:sz="4" w:space="0" w:color="auto"/>
              <w:right w:val="single" w:sz="4" w:space="0" w:color="auto"/>
            </w:tcBorders>
          </w:tcPr>
          <w:p w14:paraId="08B6F5D7"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6E01E1F0" w14:textId="415D3B04" w:rsidR="00E60267" w:rsidRPr="00361222" w:rsidRDefault="00E60267" w:rsidP="00E30CC7">
            <w:pPr>
              <w:rPr>
                <w:sz w:val="22"/>
                <w:szCs w:val="22"/>
              </w:rPr>
            </w:pPr>
            <w:r w:rsidRPr="00361222">
              <w:rPr>
                <w:sz w:val="22"/>
                <w:szCs w:val="22"/>
              </w:rPr>
              <w:t>Řízení průtoku vody programovatelné a umožňuj</w:t>
            </w:r>
            <w:r w:rsidR="00A17E60" w:rsidRPr="00361222">
              <w:rPr>
                <w:sz w:val="22"/>
                <w:szCs w:val="22"/>
              </w:rPr>
              <w:t>ící</w:t>
            </w:r>
            <w:r w:rsidRPr="00361222">
              <w:rPr>
                <w:sz w:val="22"/>
                <w:szCs w:val="22"/>
              </w:rPr>
              <w:t xml:space="preserve"> tvorbu programů pro každou ze tří sekcí akvárií nezávisle.</w:t>
            </w:r>
          </w:p>
        </w:tc>
        <w:tc>
          <w:tcPr>
            <w:tcW w:w="3402" w:type="dxa"/>
            <w:tcBorders>
              <w:top w:val="single" w:sz="4" w:space="0" w:color="auto"/>
              <w:left w:val="single" w:sz="4" w:space="0" w:color="auto"/>
              <w:bottom w:val="single" w:sz="4" w:space="0" w:color="auto"/>
              <w:right w:val="single" w:sz="4" w:space="0" w:color="auto"/>
            </w:tcBorders>
          </w:tcPr>
          <w:p w14:paraId="5945B42A"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621D9263" w14:textId="77777777" w:rsidR="00E60267" w:rsidRPr="00361222" w:rsidRDefault="00E60267" w:rsidP="00E30CC7">
            <w:pPr>
              <w:spacing w:line="360" w:lineRule="auto"/>
              <w:rPr>
                <w:sz w:val="22"/>
                <w:szCs w:val="22"/>
              </w:rPr>
            </w:pPr>
          </w:p>
        </w:tc>
      </w:tr>
      <w:tr w:rsidR="00E60267" w:rsidRPr="00361222" w14:paraId="322E4F1A" w14:textId="77777777" w:rsidTr="00304FC9">
        <w:tc>
          <w:tcPr>
            <w:tcW w:w="2689" w:type="dxa"/>
            <w:vMerge/>
            <w:tcBorders>
              <w:left w:val="single" w:sz="4" w:space="0" w:color="auto"/>
              <w:right w:val="single" w:sz="4" w:space="0" w:color="auto"/>
            </w:tcBorders>
          </w:tcPr>
          <w:p w14:paraId="4376FD10"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46D73491" w14:textId="1A25650A" w:rsidR="00E60267" w:rsidRPr="00361222" w:rsidRDefault="00E60267" w:rsidP="00E30CC7">
            <w:pPr>
              <w:rPr>
                <w:sz w:val="22"/>
                <w:szCs w:val="22"/>
              </w:rPr>
            </w:pPr>
            <w:r w:rsidRPr="00361222">
              <w:rPr>
                <w:sz w:val="22"/>
                <w:szCs w:val="22"/>
              </w:rPr>
              <w:t xml:space="preserve">Systém s možností programovat časový denní plán otevření a zavření průtoku jednotlivou sekcí, přičemž je možnost nastavit nejméně 10 kroků v rámci </w:t>
            </w:r>
            <w:proofErr w:type="gramStart"/>
            <w:r w:rsidRPr="00361222">
              <w:rPr>
                <w:sz w:val="22"/>
                <w:szCs w:val="22"/>
              </w:rPr>
              <w:t>24</w:t>
            </w:r>
            <w:r w:rsidR="00A17E60" w:rsidRPr="00361222">
              <w:rPr>
                <w:sz w:val="22"/>
                <w:szCs w:val="22"/>
              </w:rPr>
              <w:t>ti</w:t>
            </w:r>
            <w:r w:rsidRPr="00361222">
              <w:rPr>
                <w:sz w:val="22"/>
                <w:szCs w:val="22"/>
              </w:rPr>
              <w:t xml:space="preserve"> hodinového</w:t>
            </w:r>
            <w:proofErr w:type="gramEnd"/>
            <w:r w:rsidRPr="00361222">
              <w:rPr>
                <w:sz w:val="22"/>
                <w:szCs w:val="22"/>
              </w:rPr>
              <w:t xml:space="preserve"> cyklu a dále možnost manuálně spustit trvalý chod nebo manuálně vypnout průtok.</w:t>
            </w:r>
          </w:p>
        </w:tc>
        <w:tc>
          <w:tcPr>
            <w:tcW w:w="3402" w:type="dxa"/>
            <w:tcBorders>
              <w:top w:val="single" w:sz="4" w:space="0" w:color="auto"/>
              <w:left w:val="single" w:sz="4" w:space="0" w:color="auto"/>
              <w:bottom w:val="single" w:sz="4" w:space="0" w:color="auto"/>
              <w:right w:val="single" w:sz="4" w:space="0" w:color="auto"/>
            </w:tcBorders>
          </w:tcPr>
          <w:p w14:paraId="49086BC7"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631B879C" w14:textId="77777777" w:rsidR="00E60267" w:rsidRPr="00361222" w:rsidRDefault="00E60267" w:rsidP="00E30CC7">
            <w:pPr>
              <w:spacing w:line="360" w:lineRule="auto"/>
              <w:rPr>
                <w:sz w:val="22"/>
                <w:szCs w:val="22"/>
              </w:rPr>
            </w:pPr>
          </w:p>
        </w:tc>
      </w:tr>
      <w:tr w:rsidR="00E60267" w:rsidRPr="00361222" w14:paraId="6A3E0007" w14:textId="77777777" w:rsidTr="00304FC9">
        <w:tc>
          <w:tcPr>
            <w:tcW w:w="2689" w:type="dxa"/>
            <w:vMerge/>
            <w:tcBorders>
              <w:left w:val="single" w:sz="4" w:space="0" w:color="auto"/>
              <w:right w:val="single" w:sz="4" w:space="0" w:color="auto"/>
            </w:tcBorders>
          </w:tcPr>
          <w:p w14:paraId="0B8E0E60"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63CA28E7" w14:textId="39C9CABE" w:rsidR="00E60267" w:rsidRPr="00361222" w:rsidRDefault="00E60267" w:rsidP="00E30CC7">
            <w:pPr>
              <w:rPr>
                <w:sz w:val="22"/>
                <w:szCs w:val="22"/>
              </w:rPr>
            </w:pPr>
            <w:r w:rsidRPr="00361222">
              <w:rPr>
                <w:sz w:val="22"/>
                <w:szCs w:val="22"/>
              </w:rPr>
              <w:t xml:space="preserve">Průtok vody každou sekcí měřen a hodnoty ukládány do paměti zařízení s možností exportu dat. Software monitorovacího zařízení s možností exportu dat do formátu </w:t>
            </w:r>
            <w:proofErr w:type="spellStart"/>
            <w:r w:rsidRPr="00361222">
              <w:rPr>
                <w:sz w:val="22"/>
                <w:szCs w:val="22"/>
              </w:rPr>
              <w:t>csv</w:t>
            </w:r>
            <w:proofErr w:type="spellEnd"/>
            <w:r w:rsidRPr="00361222">
              <w:rPr>
                <w:sz w:val="22"/>
                <w:szCs w:val="22"/>
              </w:rPr>
              <w:t xml:space="preserve"> / Excel a dále musí umožňovat grafické zobrazení. </w:t>
            </w:r>
          </w:p>
        </w:tc>
        <w:tc>
          <w:tcPr>
            <w:tcW w:w="3402" w:type="dxa"/>
            <w:tcBorders>
              <w:top w:val="single" w:sz="4" w:space="0" w:color="auto"/>
              <w:left w:val="single" w:sz="4" w:space="0" w:color="auto"/>
              <w:bottom w:val="single" w:sz="4" w:space="0" w:color="auto"/>
              <w:right w:val="single" w:sz="4" w:space="0" w:color="auto"/>
            </w:tcBorders>
          </w:tcPr>
          <w:p w14:paraId="5D901051"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7ACECA90" w14:textId="77777777" w:rsidR="00E60267" w:rsidRPr="00361222" w:rsidRDefault="00E60267" w:rsidP="00E30CC7">
            <w:pPr>
              <w:spacing w:line="360" w:lineRule="auto"/>
              <w:rPr>
                <w:sz w:val="22"/>
                <w:szCs w:val="22"/>
              </w:rPr>
            </w:pPr>
          </w:p>
        </w:tc>
      </w:tr>
      <w:tr w:rsidR="00E60267" w:rsidRPr="00361222" w14:paraId="6335C2CA" w14:textId="77777777" w:rsidTr="00304FC9">
        <w:tc>
          <w:tcPr>
            <w:tcW w:w="2689" w:type="dxa"/>
            <w:vMerge/>
            <w:tcBorders>
              <w:left w:val="single" w:sz="4" w:space="0" w:color="auto"/>
              <w:right w:val="single" w:sz="4" w:space="0" w:color="auto"/>
            </w:tcBorders>
          </w:tcPr>
          <w:p w14:paraId="0269F74F"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364155CF" w14:textId="0D73AE46" w:rsidR="00E60267" w:rsidRPr="00361222" w:rsidRDefault="00E60267" w:rsidP="00E30CC7">
            <w:pPr>
              <w:rPr>
                <w:sz w:val="22"/>
                <w:szCs w:val="22"/>
              </w:rPr>
            </w:pPr>
            <w:r w:rsidRPr="00361222">
              <w:rPr>
                <w:sz w:val="22"/>
                <w:szCs w:val="22"/>
              </w:rPr>
              <w:t>Systém monitorování průtoku vody vybaven alarmem chybného průtoku vody každou ze sekcí.</w:t>
            </w:r>
          </w:p>
        </w:tc>
        <w:tc>
          <w:tcPr>
            <w:tcW w:w="3402" w:type="dxa"/>
            <w:tcBorders>
              <w:top w:val="single" w:sz="4" w:space="0" w:color="auto"/>
              <w:left w:val="single" w:sz="4" w:space="0" w:color="auto"/>
              <w:bottom w:val="single" w:sz="4" w:space="0" w:color="auto"/>
              <w:right w:val="single" w:sz="4" w:space="0" w:color="auto"/>
            </w:tcBorders>
          </w:tcPr>
          <w:p w14:paraId="0385C451"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3DC900F0" w14:textId="77777777" w:rsidR="00E60267" w:rsidRPr="00361222" w:rsidRDefault="00E60267" w:rsidP="00E30CC7">
            <w:pPr>
              <w:spacing w:line="360" w:lineRule="auto"/>
              <w:rPr>
                <w:sz w:val="22"/>
                <w:szCs w:val="22"/>
              </w:rPr>
            </w:pPr>
          </w:p>
        </w:tc>
      </w:tr>
      <w:tr w:rsidR="00E60267" w:rsidRPr="00361222" w14:paraId="598BF456" w14:textId="77777777" w:rsidTr="00304FC9">
        <w:tc>
          <w:tcPr>
            <w:tcW w:w="2689" w:type="dxa"/>
            <w:vMerge/>
            <w:tcBorders>
              <w:left w:val="single" w:sz="4" w:space="0" w:color="auto"/>
              <w:right w:val="single" w:sz="4" w:space="0" w:color="auto"/>
            </w:tcBorders>
          </w:tcPr>
          <w:p w14:paraId="207EA3CA"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355E3F25" w14:textId="29F15F57" w:rsidR="00E60267" w:rsidRPr="00361222" w:rsidRDefault="00E60267" w:rsidP="00E30CC7">
            <w:pPr>
              <w:rPr>
                <w:sz w:val="22"/>
                <w:szCs w:val="22"/>
              </w:rPr>
            </w:pPr>
            <w:r w:rsidRPr="00361222">
              <w:rPr>
                <w:sz w:val="22"/>
                <w:szCs w:val="22"/>
              </w:rPr>
              <w:t>Systém dávkování chemikálií s možností nastavit dávkování chemikálie nezávisle do každé sekce akvárií.</w:t>
            </w:r>
          </w:p>
        </w:tc>
        <w:tc>
          <w:tcPr>
            <w:tcW w:w="3402" w:type="dxa"/>
            <w:tcBorders>
              <w:top w:val="single" w:sz="4" w:space="0" w:color="auto"/>
              <w:left w:val="single" w:sz="4" w:space="0" w:color="auto"/>
              <w:bottom w:val="single" w:sz="4" w:space="0" w:color="auto"/>
              <w:right w:val="single" w:sz="4" w:space="0" w:color="auto"/>
            </w:tcBorders>
          </w:tcPr>
          <w:p w14:paraId="7BA94235"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275DEE4E" w14:textId="77777777" w:rsidR="00E60267" w:rsidRPr="00361222" w:rsidRDefault="00E60267" w:rsidP="00E30CC7">
            <w:pPr>
              <w:spacing w:line="360" w:lineRule="auto"/>
              <w:rPr>
                <w:sz w:val="22"/>
                <w:szCs w:val="22"/>
              </w:rPr>
            </w:pPr>
          </w:p>
        </w:tc>
      </w:tr>
      <w:tr w:rsidR="00E60267" w:rsidRPr="00361222" w14:paraId="69E6AE0D" w14:textId="77777777" w:rsidTr="00304FC9">
        <w:tc>
          <w:tcPr>
            <w:tcW w:w="2689" w:type="dxa"/>
            <w:vMerge/>
            <w:tcBorders>
              <w:left w:val="single" w:sz="4" w:space="0" w:color="auto"/>
              <w:right w:val="single" w:sz="4" w:space="0" w:color="auto"/>
            </w:tcBorders>
          </w:tcPr>
          <w:p w14:paraId="0423CED8"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6CC2E5FE" w14:textId="2BE35104" w:rsidR="00E60267" w:rsidRPr="00361222" w:rsidRDefault="00E60267" w:rsidP="00E30CC7">
            <w:pPr>
              <w:rPr>
                <w:sz w:val="22"/>
                <w:szCs w:val="22"/>
              </w:rPr>
            </w:pPr>
            <w:r w:rsidRPr="00361222">
              <w:rPr>
                <w:sz w:val="22"/>
                <w:szCs w:val="22"/>
              </w:rPr>
              <w:t>Řídicí jednotka s možností nastavení ředícího poměru vůči vodě v rozsahu až do 1:200.</w:t>
            </w:r>
          </w:p>
        </w:tc>
        <w:tc>
          <w:tcPr>
            <w:tcW w:w="3402" w:type="dxa"/>
            <w:tcBorders>
              <w:top w:val="single" w:sz="4" w:space="0" w:color="auto"/>
              <w:left w:val="single" w:sz="4" w:space="0" w:color="auto"/>
              <w:bottom w:val="single" w:sz="4" w:space="0" w:color="auto"/>
              <w:right w:val="single" w:sz="4" w:space="0" w:color="auto"/>
            </w:tcBorders>
          </w:tcPr>
          <w:p w14:paraId="0BFE43F4"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348192BA" w14:textId="77777777" w:rsidR="00E60267" w:rsidRPr="00361222" w:rsidRDefault="00E60267" w:rsidP="00E30CC7">
            <w:pPr>
              <w:spacing w:line="360" w:lineRule="auto"/>
              <w:rPr>
                <w:sz w:val="22"/>
                <w:szCs w:val="22"/>
              </w:rPr>
            </w:pPr>
          </w:p>
        </w:tc>
      </w:tr>
      <w:tr w:rsidR="00E60267" w:rsidRPr="00361222" w14:paraId="40085CD2" w14:textId="77777777" w:rsidTr="00304FC9">
        <w:tc>
          <w:tcPr>
            <w:tcW w:w="2689" w:type="dxa"/>
            <w:vMerge/>
            <w:tcBorders>
              <w:left w:val="single" w:sz="4" w:space="0" w:color="auto"/>
              <w:right w:val="single" w:sz="4" w:space="0" w:color="auto"/>
            </w:tcBorders>
          </w:tcPr>
          <w:p w14:paraId="51B029AC"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6E3B9C79" w14:textId="4AA7DA13" w:rsidR="00E60267" w:rsidRPr="00361222" w:rsidRDefault="00E60267" w:rsidP="00E30CC7">
            <w:pPr>
              <w:rPr>
                <w:sz w:val="22"/>
                <w:szCs w:val="22"/>
              </w:rPr>
            </w:pPr>
            <w:r w:rsidRPr="00361222">
              <w:rPr>
                <w:sz w:val="22"/>
                <w:szCs w:val="22"/>
              </w:rPr>
              <w:t>Výkon dávkovacích čerpadel s dávkováním v rozsahu 1 až 1000 ml / hod s přesností ±</w:t>
            </w:r>
            <w:proofErr w:type="gramStart"/>
            <w:r w:rsidRPr="00361222">
              <w:rPr>
                <w:sz w:val="22"/>
                <w:szCs w:val="22"/>
              </w:rPr>
              <w:t>5%</w:t>
            </w:r>
            <w:proofErr w:type="gramEnd"/>
            <w:r w:rsidRPr="00361222">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FEECADC"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06E95256" w14:textId="77777777" w:rsidR="00E60267" w:rsidRPr="00361222" w:rsidRDefault="00E60267" w:rsidP="00E30CC7">
            <w:pPr>
              <w:spacing w:line="360" w:lineRule="auto"/>
              <w:rPr>
                <w:sz w:val="22"/>
                <w:szCs w:val="22"/>
              </w:rPr>
            </w:pPr>
          </w:p>
        </w:tc>
      </w:tr>
      <w:tr w:rsidR="00E60267" w:rsidRPr="00361222" w14:paraId="0C6F0838" w14:textId="77777777" w:rsidTr="00304FC9">
        <w:tc>
          <w:tcPr>
            <w:tcW w:w="2689" w:type="dxa"/>
            <w:vMerge/>
            <w:tcBorders>
              <w:left w:val="single" w:sz="4" w:space="0" w:color="auto"/>
              <w:right w:val="single" w:sz="4" w:space="0" w:color="auto"/>
            </w:tcBorders>
          </w:tcPr>
          <w:p w14:paraId="1BDDCB3E"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26CAD308" w14:textId="44BC35BE" w:rsidR="00E60267" w:rsidRPr="00361222" w:rsidRDefault="00E60267" w:rsidP="00E30CC7">
            <w:pPr>
              <w:rPr>
                <w:sz w:val="22"/>
                <w:szCs w:val="22"/>
              </w:rPr>
            </w:pPr>
            <w:r w:rsidRPr="00361222">
              <w:rPr>
                <w:sz w:val="22"/>
                <w:szCs w:val="22"/>
              </w:rPr>
              <w:t>Každá sekce akvárií s vlastním zásobníkem chemikálií, o kapacitě 5 až 15 l, umístěn</w:t>
            </w:r>
            <w:r w:rsidR="00567475" w:rsidRPr="00361222">
              <w:rPr>
                <w:sz w:val="22"/>
                <w:szCs w:val="22"/>
              </w:rPr>
              <w:t>ým</w:t>
            </w:r>
            <w:r w:rsidRPr="00361222">
              <w:rPr>
                <w:sz w:val="22"/>
                <w:szCs w:val="22"/>
              </w:rPr>
              <w:t xml:space="preserve"> ve stojanu. Materiál zásobníků polykarbonát.</w:t>
            </w:r>
          </w:p>
        </w:tc>
        <w:tc>
          <w:tcPr>
            <w:tcW w:w="3402" w:type="dxa"/>
            <w:tcBorders>
              <w:top w:val="single" w:sz="4" w:space="0" w:color="auto"/>
              <w:left w:val="single" w:sz="4" w:space="0" w:color="auto"/>
              <w:bottom w:val="single" w:sz="4" w:space="0" w:color="auto"/>
              <w:right w:val="single" w:sz="4" w:space="0" w:color="auto"/>
            </w:tcBorders>
          </w:tcPr>
          <w:p w14:paraId="4E0E94A6"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20698DBB" w14:textId="77777777" w:rsidR="00E60267" w:rsidRPr="00361222" w:rsidRDefault="00E60267" w:rsidP="00E30CC7">
            <w:pPr>
              <w:spacing w:line="360" w:lineRule="auto"/>
              <w:rPr>
                <w:sz w:val="22"/>
                <w:szCs w:val="22"/>
              </w:rPr>
            </w:pPr>
          </w:p>
        </w:tc>
      </w:tr>
      <w:tr w:rsidR="00E60267" w:rsidRPr="00361222" w14:paraId="12B389FD" w14:textId="77777777" w:rsidTr="00304FC9">
        <w:tc>
          <w:tcPr>
            <w:tcW w:w="2689" w:type="dxa"/>
            <w:vMerge/>
            <w:tcBorders>
              <w:left w:val="single" w:sz="4" w:space="0" w:color="auto"/>
              <w:right w:val="single" w:sz="4" w:space="0" w:color="auto"/>
            </w:tcBorders>
          </w:tcPr>
          <w:p w14:paraId="1A9AF22F"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4549C480" w14:textId="0D1FA527" w:rsidR="00E60267" w:rsidRPr="00361222" w:rsidRDefault="00E60267" w:rsidP="00E30CC7">
            <w:pPr>
              <w:rPr>
                <w:sz w:val="22"/>
                <w:szCs w:val="22"/>
              </w:rPr>
            </w:pPr>
            <w:r w:rsidRPr="00361222">
              <w:rPr>
                <w:sz w:val="22"/>
                <w:szCs w:val="22"/>
              </w:rPr>
              <w:t>Řídicí systém, dávkovací pumpy a průtoková pumpa umístěny ve stojanu</w:t>
            </w:r>
            <w:r w:rsidR="00A17E60" w:rsidRPr="00361222">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A042AA8"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4CE545CC" w14:textId="77777777" w:rsidR="00E60267" w:rsidRPr="00361222" w:rsidRDefault="00E60267" w:rsidP="00E30CC7">
            <w:pPr>
              <w:spacing w:line="360" w:lineRule="auto"/>
              <w:rPr>
                <w:sz w:val="22"/>
                <w:szCs w:val="22"/>
              </w:rPr>
            </w:pPr>
          </w:p>
        </w:tc>
      </w:tr>
      <w:tr w:rsidR="00E60267" w:rsidRPr="00361222" w14:paraId="086DC046" w14:textId="77777777" w:rsidTr="00304FC9">
        <w:tc>
          <w:tcPr>
            <w:tcW w:w="2689" w:type="dxa"/>
            <w:vMerge/>
            <w:tcBorders>
              <w:left w:val="single" w:sz="4" w:space="0" w:color="auto"/>
              <w:right w:val="single" w:sz="4" w:space="0" w:color="auto"/>
            </w:tcBorders>
          </w:tcPr>
          <w:p w14:paraId="52FA4F6E"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67C61AC8" w14:textId="42C2343C" w:rsidR="00E60267" w:rsidRPr="00361222" w:rsidRDefault="00E60267" w:rsidP="00E30CC7">
            <w:pPr>
              <w:rPr>
                <w:sz w:val="22"/>
                <w:szCs w:val="22"/>
              </w:rPr>
            </w:pPr>
            <w:r w:rsidRPr="00361222">
              <w:rPr>
                <w:sz w:val="22"/>
                <w:szCs w:val="22"/>
              </w:rPr>
              <w:t>Ovládací jednotka vybavena displejem a vodě-odolným ovládáním.</w:t>
            </w:r>
          </w:p>
        </w:tc>
        <w:tc>
          <w:tcPr>
            <w:tcW w:w="3402" w:type="dxa"/>
            <w:tcBorders>
              <w:top w:val="single" w:sz="4" w:space="0" w:color="auto"/>
              <w:left w:val="single" w:sz="4" w:space="0" w:color="auto"/>
              <w:bottom w:val="single" w:sz="4" w:space="0" w:color="auto"/>
              <w:right w:val="single" w:sz="4" w:space="0" w:color="auto"/>
            </w:tcBorders>
          </w:tcPr>
          <w:p w14:paraId="35FE531B"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78C71496" w14:textId="77777777" w:rsidR="00E60267" w:rsidRPr="00361222" w:rsidRDefault="00E60267" w:rsidP="00E30CC7">
            <w:pPr>
              <w:spacing w:line="360" w:lineRule="auto"/>
              <w:rPr>
                <w:sz w:val="22"/>
                <w:szCs w:val="22"/>
              </w:rPr>
            </w:pPr>
          </w:p>
        </w:tc>
      </w:tr>
      <w:tr w:rsidR="00E60267" w:rsidRPr="00361222" w14:paraId="5EEC889C" w14:textId="77777777" w:rsidTr="00304FC9">
        <w:tc>
          <w:tcPr>
            <w:tcW w:w="2689" w:type="dxa"/>
            <w:vMerge/>
            <w:tcBorders>
              <w:left w:val="single" w:sz="4" w:space="0" w:color="auto"/>
              <w:right w:val="single" w:sz="4" w:space="0" w:color="auto"/>
            </w:tcBorders>
          </w:tcPr>
          <w:p w14:paraId="7575E19E"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465D6056" w14:textId="2F5AC561" w:rsidR="00E60267" w:rsidRPr="00361222" w:rsidRDefault="00E60267" w:rsidP="00E30CC7">
            <w:pPr>
              <w:rPr>
                <w:sz w:val="22"/>
                <w:szCs w:val="22"/>
              </w:rPr>
            </w:pPr>
            <w:r w:rsidRPr="00361222">
              <w:rPr>
                <w:sz w:val="22"/>
                <w:szCs w:val="22"/>
              </w:rPr>
              <w:t xml:space="preserve">Komponenty pump, přicházející do styku s chemikálií chemicky odolné, materiál </w:t>
            </w:r>
            <w:proofErr w:type="spellStart"/>
            <w:r w:rsidRPr="00361222">
              <w:rPr>
                <w:sz w:val="22"/>
                <w:szCs w:val="22"/>
              </w:rPr>
              <w:t>ptfe</w:t>
            </w:r>
            <w:proofErr w:type="spellEnd"/>
            <w:r w:rsidRPr="00361222">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745997D"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141E0683" w14:textId="77777777" w:rsidR="00E60267" w:rsidRPr="00361222" w:rsidRDefault="00E60267" w:rsidP="00E30CC7">
            <w:pPr>
              <w:spacing w:line="360" w:lineRule="auto"/>
              <w:rPr>
                <w:sz w:val="22"/>
                <w:szCs w:val="22"/>
              </w:rPr>
            </w:pPr>
          </w:p>
        </w:tc>
      </w:tr>
      <w:tr w:rsidR="00E60267" w:rsidRPr="00361222" w14:paraId="42B4DE90" w14:textId="77777777" w:rsidTr="00304FC9">
        <w:tc>
          <w:tcPr>
            <w:tcW w:w="2689" w:type="dxa"/>
            <w:vMerge/>
            <w:tcBorders>
              <w:left w:val="single" w:sz="4" w:space="0" w:color="auto"/>
              <w:bottom w:val="single" w:sz="4" w:space="0" w:color="auto"/>
              <w:right w:val="single" w:sz="4" w:space="0" w:color="auto"/>
            </w:tcBorders>
          </w:tcPr>
          <w:p w14:paraId="3341AB47" w14:textId="77777777" w:rsidR="00E60267" w:rsidRPr="00361222" w:rsidRDefault="00E6026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79549E21" w14:textId="4852DD13" w:rsidR="00E60267" w:rsidRPr="00361222" w:rsidRDefault="00E60267" w:rsidP="00E30CC7">
            <w:pPr>
              <w:rPr>
                <w:sz w:val="22"/>
                <w:szCs w:val="22"/>
              </w:rPr>
            </w:pPr>
            <w:r w:rsidRPr="00361222">
              <w:rPr>
                <w:sz w:val="22"/>
                <w:szCs w:val="22"/>
              </w:rPr>
              <w:t>Systém s možností rozšíření o měření teploty, pH a koncentrace kyslíku s možností časového záznamu.</w:t>
            </w:r>
          </w:p>
        </w:tc>
        <w:tc>
          <w:tcPr>
            <w:tcW w:w="3402" w:type="dxa"/>
            <w:tcBorders>
              <w:top w:val="single" w:sz="4" w:space="0" w:color="auto"/>
              <w:left w:val="single" w:sz="4" w:space="0" w:color="auto"/>
              <w:bottom w:val="single" w:sz="4" w:space="0" w:color="auto"/>
              <w:right w:val="single" w:sz="4" w:space="0" w:color="auto"/>
            </w:tcBorders>
          </w:tcPr>
          <w:p w14:paraId="3E4341F0" w14:textId="77777777" w:rsidR="00E60267" w:rsidRPr="00361222" w:rsidRDefault="00E6026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35456809" w14:textId="77777777" w:rsidR="00E60267" w:rsidRPr="00361222" w:rsidRDefault="00E60267" w:rsidP="00E30CC7">
            <w:pPr>
              <w:spacing w:line="360" w:lineRule="auto"/>
              <w:rPr>
                <w:sz w:val="22"/>
                <w:szCs w:val="22"/>
              </w:rPr>
            </w:pPr>
          </w:p>
        </w:tc>
      </w:tr>
      <w:tr w:rsidR="00E30CC7" w:rsidRPr="00361222" w14:paraId="70979F30" w14:textId="77777777" w:rsidTr="006F359F">
        <w:tc>
          <w:tcPr>
            <w:tcW w:w="2689" w:type="dxa"/>
            <w:tcBorders>
              <w:top w:val="single" w:sz="4" w:space="0" w:color="auto"/>
              <w:left w:val="single" w:sz="4" w:space="0" w:color="auto"/>
              <w:bottom w:val="single" w:sz="4" w:space="0" w:color="auto"/>
              <w:right w:val="single" w:sz="4" w:space="0" w:color="auto"/>
            </w:tcBorders>
          </w:tcPr>
          <w:p w14:paraId="69296473" w14:textId="77777777" w:rsidR="00E30CC7" w:rsidRPr="00361222" w:rsidRDefault="00E30CC7" w:rsidP="00E30CC7">
            <w:pPr>
              <w:rPr>
                <w:sz w:val="22"/>
                <w:szCs w:val="22"/>
              </w:rPr>
            </w:pPr>
          </w:p>
        </w:tc>
        <w:tc>
          <w:tcPr>
            <w:tcW w:w="6095" w:type="dxa"/>
            <w:tcBorders>
              <w:top w:val="single" w:sz="4" w:space="0" w:color="auto"/>
              <w:left w:val="single" w:sz="4" w:space="0" w:color="auto"/>
              <w:bottom w:val="single" w:sz="4" w:space="0" w:color="auto"/>
              <w:right w:val="single" w:sz="4" w:space="0" w:color="auto"/>
            </w:tcBorders>
            <w:vAlign w:val="center"/>
          </w:tcPr>
          <w:p w14:paraId="73FF8E7A" w14:textId="77777777" w:rsidR="00E30CC7" w:rsidRPr="00361222" w:rsidRDefault="00E30CC7" w:rsidP="00E30CC7">
            <w:pPr>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E09E472" w14:textId="77777777" w:rsidR="00E30CC7" w:rsidRPr="00361222" w:rsidRDefault="00E30CC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4C8DA249" w14:textId="77777777" w:rsidR="00E30CC7" w:rsidRPr="00361222" w:rsidRDefault="00E30CC7" w:rsidP="00E30CC7">
            <w:pPr>
              <w:spacing w:line="360" w:lineRule="auto"/>
              <w:rPr>
                <w:sz w:val="22"/>
                <w:szCs w:val="22"/>
              </w:rPr>
            </w:pPr>
          </w:p>
        </w:tc>
      </w:tr>
      <w:tr w:rsidR="00E30CC7" w:rsidRPr="00361222" w14:paraId="0EB55D8F" w14:textId="77777777" w:rsidTr="007D6296">
        <w:tc>
          <w:tcPr>
            <w:tcW w:w="14312" w:type="dxa"/>
            <w:gridSpan w:val="4"/>
            <w:tcBorders>
              <w:top w:val="single" w:sz="4" w:space="0" w:color="auto"/>
              <w:left w:val="single" w:sz="4" w:space="0" w:color="auto"/>
              <w:bottom w:val="single" w:sz="4" w:space="0" w:color="auto"/>
              <w:right w:val="single" w:sz="4" w:space="0" w:color="auto"/>
            </w:tcBorders>
          </w:tcPr>
          <w:p w14:paraId="41770987" w14:textId="69BD48FA" w:rsidR="00E30CC7" w:rsidRPr="00361222" w:rsidRDefault="00E30CC7" w:rsidP="00E30CC7">
            <w:pPr>
              <w:spacing w:line="360" w:lineRule="auto"/>
              <w:rPr>
                <w:sz w:val="22"/>
                <w:szCs w:val="22"/>
              </w:rPr>
            </w:pPr>
            <w:r w:rsidRPr="00361222">
              <w:rPr>
                <w:b/>
                <w:sz w:val="22"/>
                <w:szCs w:val="22"/>
              </w:rPr>
              <w:t>Servis a záruka:</w:t>
            </w:r>
          </w:p>
        </w:tc>
      </w:tr>
      <w:tr w:rsidR="00E30CC7" w:rsidRPr="00361222" w14:paraId="7E70F1A5" w14:textId="77777777" w:rsidTr="007D6296">
        <w:tc>
          <w:tcPr>
            <w:tcW w:w="2689" w:type="dxa"/>
            <w:tcBorders>
              <w:top w:val="single" w:sz="4" w:space="0" w:color="auto"/>
              <w:left w:val="single" w:sz="4" w:space="0" w:color="auto"/>
              <w:bottom w:val="single" w:sz="4" w:space="0" w:color="auto"/>
              <w:right w:val="single" w:sz="4" w:space="0" w:color="auto"/>
            </w:tcBorders>
          </w:tcPr>
          <w:p w14:paraId="5ED2DE6F" w14:textId="5B2EFA4F" w:rsidR="00E30CC7" w:rsidRPr="00361222" w:rsidRDefault="00E30CC7" w:rsidP="00E30CC7">
            <w:pPr>
              <w:spacing w:line="360" w:lineRule="auto"/>
              <w:rPr>
                <w:sz w:val="22"/>
                <w:szCs w:val="22"/>
              </w:rPr>
            </w:pPr>
            <w:r w:rsidRPr="00361222">
              <w:rPr>
                <w:sz w:val="22"/>
                <w:szCs w:val="22"/>
              </w:rPr>
              <w:t>Rychlost servisního zásahu</w:t>
            </w:r>
          </w:p>
        </w:tc>
        <w:tc>
          <w:tcPr>
            <w:tcW w:w="6095" w:type="dxa"/>
            <w:tcBorders>
              <w:top w:val="single" w:sz="4" w:space="0" w:color="auto"/>
              <w:left w:val="single" w:sz="4" w:space="0" w:color="auto"/>
              <w:bottom w:val="single" w:sz="4" w:space="0" w:color="auto"/>
              <w:right w:val="single" w:sz="4" w:space="0" w:color="auto"/>
            </w:tcBorders>
          </w:tcPr>
          <w:p w14:paraId="5AAC3DF6" w14:textId="442B5434" w:rsidR="00E30CC7" w:rsidRPr="00361222" w:rsidRDefault="00E30CC7" w:rsidP="00E30CC7">
            <w:pPr>
              <w:spacing w:line="360" w:lineRule="auto"/>
              <w:rPr>
                <w:sz w:val="22"/>
                <w:szCs w:val="22"/>
              </w:rPr>
            </w:pPr>
            <w:r w:rsidRPr="00361222">
              <w:rPr>
                <w:sz w:val="22"/>
                <w:szCs w:val="22"/>
              </w:rPr>
              <w:t>Do 24 h</w:t>
            </w:r>
          </w:p>
        </w:tc>
        <w:tc>
          <w:tcPr>
            <w:tcW w:w="3402" w:type="dxa"/>
            <w:tcBorders>
              <w:top w:val="single" w:sz="4" w:space="0" w:color="auto"/>
              <w:left w:val="single" w:sz="4" w:space="0" w:color="auto"/>
              <w:bottom w:val="single" w:sz="4" w:space="0" w:color="auto"/>
              <w:right w:val="single" w:sz="4" w:space="0" w:color="auto"/>
            </w:tcBorders>
          </w:tcPr>
          <w:p w14:paraId="1CD1E6F4" w14:textId="77777777" w:rsidR="00E30CC7" w:rsidRPr="00361222" w:rsidRDefault="00E30CC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3B95D749" w14:textId="77777777" w:rsidR="00E30CC7" w:rsidRPr="00361222" w:rsidRDefault="00E30CC7" w:rsidP="00E30CC7">
            <w:pPr>
              <w:spacing w:line="360" w:lineRule="auto"/>
              <w:rPr>
                <w:sz w:val="22"/>
                <w:szCs w:val="22"/>
              </w:rPr>
            </w:pPr>
          </w:p>
        </w:tc>
      </w:tr>
      <w:tr w:rsidR="00E30CC7" w:rsidRPr="00361222" w14:paraId="612BD29E" w14:textId="77777777" w:rsidTr="007D6296">
        <w:tc>
          <w:tcPr>
            <w:tcW w:w="2689" w:type="dxa"/>
            <w:tcBorders>
              <w:top w:val="single" w:sz="4" w:space="0" w:color="auto"/>
              <w:left w:val="single" w:sz="4" w:space="0" w:color="auto"/>
              <w:bottom w:val="single" w:sz="4" w:space="0" w:color="auto"/>
              <w:right w:val="single" w:sz="4" w:space="0" w:color="auto"/>
            </w:tcBorders>
          </w:tcPr>
          <w:p w14:paraId="3BAE8987" w14:textId="33675E5C" w:rsidR="00E30CC7" w:rsidRPr="00361222" w:rsidRDefault="00E30CC7" w:rsidP="00E30CC7">
            <w:pPr>
              <w:spacing w:line="360" w:lineRule="auto"/>
              <w:rPr>
                <w:sz w:val="22"/>
                <w:szCs w:val="22"/>
              </w:rPr>
            </w:pPr>
            <w:r w:rsidRPr="00361222">
              <w:rPr>
                <w:sz w:val="22"/>
                <w:szCs w:val="22"/>
              </w:rPr>
              <w:lastRenderedPageBreak/>
              <w:t xml:space="preserve">Servisní podmínky </w:t>
            </w:r>
          </w:p>
        </w:tc>
        <w:tc>
          <w:tcPr>
            <w:tcW w:w="6095" w:type="dxa"/>
            <w:tcBorders>
              <w:top w:val="single" w:sz="4" w:space="0" w:color="auto"/>
              <w:left w:val="single" w:sz="4" w:space="0" w:color="auto"/>
              <w:bottom w:val="single" w:sz="4" w:space="0" w:color="auto"/>
              <w:right w:val="single" w:sz="4" w:space="0" w:color="auto"/>
            </w:tcBorders>
          </w:tcPr>
          <w:p w14:paraId="31DEC44E" w14:textId="1B04EDDF" w:rsidR="00E30CC7" w:rsidRPr="00361222" w:rsidRDefault="00E30CC7" w:rsidP="00E30CC7">
            <w:pPr>
              <w:spacing w:line="360" w:lineRule="auto"/>
              <w:rPr>
                <w:sz w:val="22"/>
                <w:szCs w:val="22"/>
              </w:rPr>
            </w:pPr>
            <w:r w:rsidRPr="00361222">
              <w:rPr>
                <w:sz w:val="22"/>
                <w:szCs w:val="22"/>
              </w:rPr>
              <w:t>Servis po dobu záruky</w:t>
            </w:r>
          </w:p>
        </w:tc>
        <w:tc>
          <w:tcPr>
            <w:tcW w:w="3402" w:type="dxa"/>
            <w:tcBorders>
              <w:top w:val="single" w:sz="4" w:space="0" w:color="auto"/>
              <w:left w:val="single" w:sz="4" w:space="0" w:color="auto"/>
              <w:bottom w:val="single" w:sz="4" w:space="0" w:color="auto"/>
              <w:right w:val="single" w:sz="4" w:space="0" w:color="auto"/>
            </w:tcBorders>
          </w:tcPr>
          <w:p w14:paraId="4A1DAA05" w14:textId="77777777" w:rsidR="00E30CC7" w:rsidRPr="00361222" w:rsidRDefault="00E30CC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6F1058CE" w14:textId="77777777" w:rsidR="00E30CC7" w:rsidRPr="00361222" w:rsidRDefault="00E30CC7" w:rsidP="00E30CC7">
            <w:pPr>
              <w:spacing w:line="360" w:lineRule="auto"/>
              <w:rPr>
                <w:sz w:val="22"/>
                <w:szCs w:val="22"/>
              </w:rPr>
            </w:pPr>
          </w:p>
        </w:tc>
      </w:tr>
      <w:tr w:rsidR="00E30CC7" w:rsidRPr="00361222" w14:paraId="7CF3584F" w14:textId="77777777" w:rsidTr="007D6296">
        <w:tc>
          <w:tcPr>
            <w:tcW w:w="2689" w:type="dxa"/>
            <w:tcBorders>
              <w:top w:val="single" w:sz="4" w:space="0" w:color="auto"/>
              <w:left w:val="single" w:sz="4" w:space="0" w:color="auto"/>
              <w:bottom w:val="single" w:sz="4" w:space="0" w:color="auto"/>
              <w:right w:val="single" w:sz="4" w:space="0" w:color="auto"/>
            </w:tcBorders>
          </w:tcPr>
          <w:p w14:paraId="4DF336E2" w14:textId="2086C8D5" w:rsidR="00E30CC7" w:rsidRPr="00361222" w:rsidRDefault="00E30CC7" w:rsidP="00E30CC7">
            <w:pPr>
              <w:spacing w:line="360" w:lineRule="auto"/>
              <w:rPr>
                <w:sz w:val="22"/>
                <w:szCs w:val="22"/>
              </w:rPr>
            </w:pPr>
            <w:r w:rsidRPr="00361222">
              <w:rPr>
                <w:sz w:val="22"/>
                <w:szCs w:val="22"/>
              </w:rPr>
              <w:t xml:space="preserve">Záruka </w:t>
            </w:r>
          </w:p>
        </w:tc>
        <w:tc>
          <w:tcPr>
            <w:tcW w:w="6095" w:type="dxa"/>
            <w:tcBorders>
              <w:top w:val="single" w:sz="4" w:space="0" w:color="auto"/>
              <w:left w:val="single" w:sz="4" w:space="0" w:color="auto"/>
              <w:bottom w:val="single" w:sz="4" w:space="0" w:color="auto"/>
              <w:right w:val="single" w:sz="4" w:space="0" w:color="auto"/>
            </w:tcBorders>
          </w:tcPr>
          <w:p w14:paraId="068D6455" w14:textId="6F031CF7" w:rsidR="00E30CC7" w:rsidRPr="00361222" w:rsidRDefault="00E30CC7" w:rsidP="00E30CC7">
            <w:pPr>
              <w:spacing w:line="360" w:lineRule="auto"/>
              <w:rPr>
                <w:sz w:val="22"/>
                <w:szCs w:val="22"/>
              </w:rPr>
            </w:pPr>
            <w:r w:rsidRPr="00361222">
              <w:rPr>
                <w:sz w:val="22"/>
                <w:szCs w:val="22"/>
              </w:rPr>
              <w:t>2 roky</w:t>
            </w:r>
          </w:p>
        </w:tc>
        <w:tc>
          <w:tcPr>
            <w:tcW w:w="3402" w:type="dxa"/>
            <w:tcBorders>
              <w:top w:val="single" w:sz="4" w:space="0" w:color="auto"/>
              <w:left w:val="single" w:sz="4" w:space="0" w:color="auto"/>
              <w:bottom w:val="single" w:sz="4" w:space="0" w:color="auto"/>
              <w:right w:val="single" w:sz="4" w:space="0" w:color="auto"/>
            </w:tcBorders>
          </w:tcPr>
          <w:p w14:paraId="794EB764" w14:textId="77777777" w:rsidR="00E30CC7" w:rsidRPr="00361222" w:rsidRDefault="00E30CC7"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5BDE5F1A" w14:textId="77777777" w:rsidR="00E30CC7" w:rsidRPr="00361222" w:rsidRDefault="00E30CC7" w:rsidP="00E30CC7">
            <w:pPr>
              <w:spacing w:line="360" w:lineRule="auto"/>
              <w:rPr>
                <w:sz w:val="22"/>
                <w:szCs w:val="22"/>
              </w:rPr>
            </w:pPr>
          </w:p>
        </w:tc>
      </w:tr>
      <w:tr w:rsidR="00C10C8B" w:rsidRPr="00361222" w14:paraId="410EB237" w14:textId="77777777" w:rsidTr="007D6296">
        <w:tc>
          <w:tcPr>
            <w:tcW w:w="2689" w:type="dxa"/>
            <w:tcBorders>
              <w:top w:val="single" w:sz="4" w:space="0" w:color="auto"/>
              <w:left w:val="single" w:sz="4" w:space="0" w:color="auto"/>
              <w:bottom w:val="single" w:sz="4" w:space="0" w:color="auto"/>
              <w:right w:val="single" w:sz="4" w:space="0" w:color="auto"/>
            </w:tcBorders>
          </w:tcPr>
          <w:p w14:paraId="6470329F" w14:textId="77777777" w:rsidR="00C10C8B" w:rsidRPr="00361222" w:rsidRDefault="00C10C8B" w:rsidP="00E30CC7">
            <w:pPr>
              <w:spacing w:line="360" w:lineRule="auto"/>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3F52D7D3" w14:textId="77777777" w:rsidR="00C10C8B" w:rsidRPr="00361222" w:rsidRDefault="00C10C8B" w:rsidP="00E30CC7">
            <w:pPr>
              <w:spacing w:line="360" w:lineRule="auto"/>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82EA03A" w14:textId="77777777" w:rsidR="00C10C8B" w:rsidRPr="00361222" w:rsidRDefault="00C10C8B" w:rsidP="00E30CC7">
            <w:pPr>
              <w:snapToGrid w:val="0"/>
              <w:spacing w:line="360" w:lineRule="auto"/>
              <w:rPr>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tcPr>
          <w:p w14:paraId="5FC5C475" w14:textId="77777777" w:rsidR="00C10C8B" w:rsidRPr="00361222" w:rsidRDefault="00C10C8B" w:rsidP="00E30CC7">
            <w:pPr>
              <w:spacing w:line="360" w:lineRule="auto"/>
              <w:rPr>
                <w:sz w:val="22"/>
                <w:szCs w:val="22"/>
              </w:rPr>
            </w:pPr>
          </w:p>
        </w:tc>
      </w:tr>
    </w:tbl>
    <w:p w14:paraId="159E5377" w14:textId="77777777" w:rsidR="00D936B7" w:rsidRPr="00361222" w:rsidRDefault="00D936B7" w:rsidP="00D936B7">
      <w:pPr>
        <w:rPr>
          <w:sz w:val="22"/>
          <w:szCs w:val="22"/>
        </w:rPr>
      </w:pPr>
    </w:p>
    <w:p w14:paraId="34CC30CE" w14:textId="35D89DB2" w:rsidR="00E451FD" w:rsidRPr="00361222" w:rsidRDefault="00E451FD" w:rsidP="00D936B7">
      <w:pPr>
        <w:rPr>
          <w:sz w:val="22"/>
          <w:szCs w:val="22"/>
        </w:rPr>
      </w:pPr>
    </w:p>
    <w:p w14:paraId="52267CEC" w14:textId="77777777" w:rsidR="000876A0" w:rsidRPr="00361222" w:rsidRDefault="000876A0" w:rsidP="00D936B7">
      <w:pPr>
        <w:rPr>
          <w:sz w:val="22"/>
          <w:szCs w:val="22"/>
        </w:rPr>
      </w:pPr>
    </w:p>
    <w:p w14:paraId="6A2383D1" w14:textId="77777777" w:rsidR="00E451FD" w:rsidRPr="00361222" w:rsidRDefault="00E451FD" w:rsidP="00D936B7">
      <w:pPr>
        <w:rPr>
          <w:sz w:val="22"/>
          <w:szCs w:val="22"/>
        </w:rPr>
      </w:pPr>
    </w:p>
    <w:p w14:paraId="49612944" w14:textId="4AAD19DC" w:rsidR="00D936B7" w:rsidRPr="00361222" w:rsidRDefault="00D936B7" w:rsidP="00D936B7">
      <w:pPr>
        <w:pStyle w:val="Styl2"/>
        <w:numPr>
          <w:ilvl w:val="0"/>
          <w:numId w:val="0"/>
        </w:numPr>
        <w:spacing w:before="0" w:after="0" w:line="240" w:lineRule="auto"/>
        <w:ind w:left="851" w:hanging="851"/>
      </w:pPr>
      <w:r w:rsidRPr="00361222">
        <w:t>V ……… dne …… 20</w:t>
      </w:r>
      <w:r w:rsidR="00567475" w:rsidRPr="00361222">
        <w:t>2</w:t>
      </w:r>
      <w:r w:rsidR="00361222" w:rsidRPr="00361222">
        <w:t>1</w:t>
      </w:r>
    </w:p>
    <w:p w14:paraId="2F790007" w14:textId="77777777" w:rsidR="00D936B7" w:rsidRPr="00361222" w:rsidRDefault="00D936B7" w:rsidP="00D936B7">
      <w:pPr>
        <w:pStyle w:val="Styl2"/>
        <w:numPr>
          <w:ilvl w:val="0"/>
          <w:numId w:val="0"/>
        </w:numPr>
        <w:spacing w:before="0" w:after="0" w:line="240" w:lineRule="auto"/>
        <w:ind w:left="851" w:hanging="851"/>
      </w:pPr>
    </w:p>
    <w:p w14:paraId="5002DCB7" w14:textId="77777777" w:rsidR="00D936B7" w:rsidRPr="00361222" w:rsidRDefault="00D936B7" w:rsidP="00D936B7">
      <w:pPr>
        <w:pStyle w:val="Styl2"/>
        <w:numPr>
          <w:ilvl w:val="0"/>
          <w:numId w:val="0"/>
        </w:numPr>
        <w:spacing w:before="0" w:after="0" w:line="240" w:lineRule="auto"/>
        <w:ind w:left="851" w:hanging="851"/>
      </w:pPr>
    </w:p>
    <w:p w14:paraId="18DA3FF6" w14:textId="77777777" w:rsidR="00D936B7" w:rsidRPr="00361222" w:rsidRDefault="00D936B7" w:rsidP="00D936B7">
      <w:pPr>
        <w:pStyle w:val="Styl2"/>
        <w:numPr>
          <w:ilvl w:val="0"/>
          <w:numId w:val="0"/>
        </w:numPr>
        <w:spacing w:before="0" w:after="0" w:line="240" w:lineRule="auto"/>
      </w:pPr>
    </w:p>
    <w:p w14:paraId="07D46DED" w14:textId="77777777" w:rsidR="00D936B7" w:rsidRPr="00361222" w:rsidRDefault="00D936B7" w:rsidP="00D936B7">
      <w:pPr>
        <w:pStyle w:val="Styl2"/>
        <w:numPr>
          <w:ilvl w:val="0"/>
          <w:numId w:val="0"/>
        </w:numPr>
        <w:spacing w:before="0" w:after="0" w:line="240" w:lineRule="auto"/>
      </w:pPr>
    </w:p>
    <w:p w14:paraId="7B89E15B" w14:textId="77777777" w:rsidR="00D936B7" w:rsidRPr="00361222" w:rsidRDefault="00D936B7" w:rsidP="00D936B7">
      <w:pPr>
        <w:pStyle w:val="Styl2"/>
        <w:numPr>
          <w:ilvl w:val="0"/>
          <w:numId w:val="0"/>
        </w:numPr>
        <w:spacing w:before="0" w:after="0" w:line="240" w:lineRule="auto"/>
      </w:pPr>
    </w:p>
    <w:p w14:paraId="73974C1A" w14:textId="77777777" w:rsidR="00D936B7" w:rsidRPr="00361222" w:rsidRDefault="00D936B7" w:rsidP="00D936B7">
      <w:pPr>
        <w:pStyle w:val="Styl2"/>
        <w:numPr>
          <w:ilvl w:val="0"/>
          <w:numId w:val="0"/>
        </w:numPr>
        <w:spacing w:before="0" w:after="0" w:line="240" w:lineRule="auto"/>
        <w:ind w:left="851" w:hanging="851"/>
      </w:pPr>
      <w:r w:rsidRPr="00361222">
        <w:t>……………….………………………………………………</w:t>
      </w:r>
    </w:p>
    <w:p w14:paraId="0E4F7EF4" w14:textId="77777777" w:rsidR="00D936B7" w:rsidRPr="00361222" w:rsidRDefault="00D936B7" w:rsidP="00D936B7">
      <w:pPr>
        <w:pStyle w:val="Styl2"/>
        <w:numPr>
          <w:ilvl w:val="0"/>
          <w:numId w:val="0"/>
        </w:numPr>
        <w:spacing w:before="0" w:after="0" w:line="240" w:lineRule="auto"/>
        <w:ind w:left="851" w:hanging="851"/>
        <w:rPr>
          <w:b/>
          <w:bCs/>
          <w:color w:val="808080"/>
          <w:spacing w:val="2"/>
        </w:rPr>
      </w:pPr>
      <w:r w:rsidRPr="00361222">
        <w:t>Jméno, funkce a podpis oprávněné osoby</w:t>
      </w:r>
    </w:p>
    <w:p w14:paraId="1AC613B6" w14:textId="77777777" w:rsidR="00EB2B8D" w:rsidRPr="00D936B7" w:rsidRDefault="00EB2B8D">
      <w:pPr>
        <w:rPr>
          <w:rFonts w:ascii="Georgia" w:hAnsi="Georgia"/>
        </w:rPr>
      </w:pPr>
    </w:p>
    <w:sectPr w:rsidR="00EB2B8D" w:rsidRPr="00D936B7" w:rsidSect="007D629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5F8D"/>
    <w:multiLevelType w:val="multilevel"/>
    <w:tmpl w:val="4D041F5A"/>
    <w:lvl w:ilvl="0">
      <w:start w:val="1"/>
      <w:numFmt w:val="decimal"/>
      <w:pStyle w:val="Nadpis1"/>
      <w:lvlText w:val="%1."/>
      <w:lvlJc w:val="left"/>
      <w:pPr>
        <w:ind w:left="851" w:hanging="851"/>
      </w:pPr>
    </w:lvl>
    <w:lvl w:ilvl="1">
      <w:start w:val="1"/>
      <w:numFmt w:val="decimal"/>
      <w:pStyle w:val="Nadpisrove2"/>
      <w:lvlText w:val="%1.%2."/>
      <w:lvlJc w:val="left"/>
      <w:pPr>
        <w:ind w:left="851" w:hanging="851"/>
      </w:pPr>
      <w:rPr>
        <w:b/>
      </w:rPr>
    </w:lvl>
    <w:lvl w:ilvl="2">
      <w:start w:val="1"/>
      <w:numFmt w:val="decimal"/>
      <w:pStyle w:val="Styl2"/>
      <w:lvlText w:val="%1.%2.%3."/>
      <w:lvlJc w:val="left"/>
      <w:pPr>
        <w:ind w:left="851" w:hanging="851"/>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9A"/>
    <w:rsid w:val="00005D08"/>
    <w:rsid w:val="0003389F"/>
    <w:rsid w:val="000876A0"/>
    <w:rsid w:val="0011212B"/>
    <w:rsid w:val="00122299"/>
    <w:rsid w:val="00137C39"/>
    <w:rsid w:val="001E3365"/>
    <w:rsid w:val="00252F98"/>
    <w:rsid w:val="00361222"/>
    <w:rsid w:val="00381931"/>
    <w:rsid w:val="00393337"/>
    <w:rsid w:val="004105D0"/>
    <w:rsid w:val="00437C1D"/>
    <w:rsid w:val="00567475"/>
    <w:rsid w:val="005D7401"/>
    <w:rsid w:val="0060149A"/>
    <w:rsid w:val="00682AF0"/>
    <w:rsid w:val="006F05E0"/>
    <w:rsid w:val="00710151"/>
    <w:rsid w:val="00723424"/>
    <w:rsid w:val="007B2E4B"/>
    <w:rsid w:val="007D6296"/>
    <w:rsid w:val="00821B1D"/>
    <w:rsid w:val="00862E74"/>
    <w:rsid w:val="008926A3"/>
    <w:rsid w:val="00892890"/>
    <w:rsid w:val="009879C9"/>
    <w:rsid w:val="00A17E60"/>
    <w:rsid w:val="00A225B6"/>
    <w:rsid w:val="00A46055"/>
    <w:rsid w:val="00AA5309"/>
    <w:rsid w:val="00B351A9"/>
    <w:rsid w:val="00B76873"/>
    <w:rsid w:val="00BA4A0F"/>
    <w:rsid w:val="00BF5079"/>
    <w:rsid w:val="00C10C8B"/>
    <w:rsid w:val="00C14835"/>
    <w:rsid w:val="00C243B7"/>
    <w:rsid w:val="00C9078F"/>
    <w:rsid w:val="00D30A1E"/>
    <w:rsid w:val="00D936B7"/>
    <w:rsid w:val="00DA758A"/>
    <w:rsid w:val="00E30CC7"/>
    <w:rsid w:val="00E451FD"/>
    <w:rsid w:val="00E60267"/>
    <w:rsid w:val="00EB2B8D"/>
    <w:rsid w:val="00FB2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5727"/>
  <w15:chartTrackingRefBased/>
  <w15:docId w15:val="{E20349CB-6423-494A-8508-B004A934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36B7"/>
    <w:rPr>
      <w:rFonts w:ascii="Arial" w:eastAsia="Times New Roman" w:hAnsi="Arial" w:cs="Arial"/>
      <w:sz w:val="20"/>
      <w:szCs w:val="20"/>
      <w:lang w:eastAsia="cs-CZ"/>
    </w:rPr>
  </w:style>
  <w:style w:type="paragraph" w:styleId="Nadpis1">
    <w:name w:val="heading 1"/>
    <w:basedOn w:val="Normln"/>
    <w:next w:val="Styl2"/>
    <w:link w:val="Nadpis1Char"/>
    <w:qFormat/>
    <w:rsid w:val="00D936B7"/>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line="276" w:lineRule="auto"/>
      <w:outlineLvl w:val="0"/>
    </w:pPr>
    <w:rPr>
      <w:rFonts w:eastAsiaTheme="majorEastAsia"/>
      <w:b/>
      <w:bCs/>
      <w:caps/>
      <w:color w:val="808080" w:themeColor="background1" w:themeShade="80"/>
      <w:sz w:val="28"/>
      <w:szCs w:val="28"/>
      <w:lang w:eastAsia="en-US"/>
    </w:rPr>
  </w:style>
  <w:style w:type="paragraph" w:styleId="Nadpis2">
    <w:name w:val="heading 2"/>
    <w:basedOn w:val="Normln"/>
    <w:next w:val="Normln"/>
    <w:link w:val="Nadpis2Char"/>
    <w:uiPriority w:val="9"/>
    <w:semiHidden/>
    <w:unhideWhenUsed/>
    <w:qFormat/>
    <w:rsid w:val="00D936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36B7"/>
    <w:rPr>
      <w:rFonts w:ascii="Arial" w:eastAsiaTheme="majorEastAsia" w:hAnsi="Arial" w:cs="Arial"/>
      <w:b/>
      <w:bCs/>
      <w:caps/>
      <w:color w:val="808080" w:themeColor="background1" w:themeShade="80"/>
      <w:sz w:val="28"/>
      <w:szCs w:val="28"/>
    </w:rPr>
  </w:style>
  <w:style w:type="paragraph" w:customStyle="1" w:styleId="Styl2">
    <w:name w:val="Styl2"/>
    <w:basedOn w:val="Bezmezer"/>
    <w:link w:val="Styl2Char"/>
    <w:qFormat/>
    <w:rsid w:val="00D936B7"/>
    <w:pPr>
      <w:numPr>
        <w:ilvl w:val="2"/>
        <w:numId w:val="1"/>
      </w:numPr>
      <w:spacing w:before="120" w:after="120" w:line="276" w:lineRule="auto"/>
      <w:jc w:val="both"/>
    </w:pPr>
    <w:rPr>
      <w:rFonts w:eastAsia="Calibri"/>
      <w:sz w:val="22"/>
      <w:szCs w:val="22"/>
    </w:rPr>
  </w:style>
  <w:style w:type="character" w:customStyle="1" w:styleId="ObyejnChar">
    <w:name w:val="Obyčejný Char"/>
    <w:basedOn w:val="Standardnpsmoodstavce"/>
    <w:link w:val="Obyejn"/>
    <w:locked/>
    <w:rsid w:val="00D936B7"/>
    <w:rPr>
      <w:rFonts w:ascii="Arial" w:hAnsi="Arial" w:cs="Arial"/>
      <w:sz w:val="22"/>
    </w:rPr>
  </w:style>
  <w:style w:type="paragraph" w:customStyle="1" w:styleId="Obyejn">
    <w:name w:val="Obyčejný"/>
    <w:basedOn w:val="Normln"/>
    <w:link w:val="ObyejnChar"/>
    <w:qFormat/>
    <w:rsid w:val="00D936B7"/>
    <w:rPr>
      <w:rFonts w:eastAsiaTheme="minorHAnsi"/>
      <w:sz w:val="22"/>
      <w:szCs w:val="22"/>
      <w:lang w:eastAsia="en-US"/>
    </w:rPr>
  </w:style>
  <w:style w:type="character" w:customStyle="1" w:styleId="Styl2Char">
    <w:name w:val="Styl2 Char"/>
    <w:basedOn w:val="Standardnpsmoodstavce"/>
    <w:link w:val="Styl2"/>
    <w:locked/>
    <w:rsid w:val="00D936B7"/>
    <w:rPr>
      <w:rFonts w:ascii="Arial" w:eastAsia="Calibri" w:hAnsi="Arial" w:cs="Arial"/>
      <w:sz w:val="22"/>
      <w:lang w:eastAsia="cs-CZ"/>
    </w:rPr>
  </w:style>
  <w:style w:type="paragraph" w:customStyle="1" w:styleId="Psmena">
    <w:name w:val="Písmena"/>
    <w:qFormat/>
    <w:rsid w:val="00D936B7"/>
    <w:pPr>
      <w:numPr>
        <w:ilvl w:val="3"/>
        <w:numId w:val="1"/>
      </w:numPr>
      <w:spacing w:line="276" w:lineRule="auto"/>
      <w:jc w:val="both"/>
    </w:pPr>
    <w:rPr>
      <w:rFonts w:ascii="Arial" w:eastAsiaTheme="majorEastAsia" w:hAnsi="Arial" w:cs="Arial"/>
      <w:bCs/>
      <w:sz w:val="22"/>
    </w:rPr>
  </w:style>
  <w:style w:type="paragraph" w:customStyle="1" w:styleId="Nadpisrove2">
    <w:name w:val="Nadpis úroveň 2"/>
    <w:basedOn w:val="Nadpis2"/>
    <w:next w:val="Styl2"/>
    <w:qFormat/>
    <w:rsid w:val="00D936B7"/>
    <w:pPr>
      <w:keepLines w:val="0"/>
      <w:numPr>
        <w:ilvl w:val="1"/>
        <w:numId w:val="1"/>
      </w:numPr>
      <w:tabs>
        <w:tab w:val="num" w:pos="360"/>
      </w:tabs>
      <w:spacing w:before="240" w:after="120" w:line="276" w:lineRule="auto"/>
      <w:ind w:left="0" w:firstLine="0"/>
      <w:jc w:val="both"/>
    </w:pPr>
    <w:rPr>
      <w:rFonts w:ascii="Arial" w:eastAsia="Calibri" w:hAnsi="Arial" w:cs="Arial"/>
      <w:b/>
      <w:smallCaps/>
      <w:color w:val="000000" w:themeColor="text1"/>
      <w:sz w:val="22"/>
      <w:szCs w:val="22"/>
      <w:lang w:eastAsia="en-US"/>
    </w:rPr>
  </w:style>
  <w:style w:type="table" w:styleId="Mkatabulky">
    <w:name w:val="Table Grid"/>
    <w:basedOn w:val="Normlntabulka"/>
    <w:uiPriority w:val="59"/>
    <w:rsid w:val="00D936B7"/>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936B7"/>
    <w:rPr>
      <w:rFonts w:ascii="Arial" w:eastAsia="Times New Roman" w:hAnsi="Arial" w:cs="Arial"/>
      <w:sz w:val="20"/>
      <w:szCs w:val="20"/>
      <w:lang w:eastAsia="cs-CZ"/>
    </w:rPr>
  </w:style>
  <w:style w:type="character" w:customStyle="1" w:styleId="Nadpis2Char">
    <w:name w:val="Nadpis 2 Char"/>
    <w:basedOn w:val="Standardnpsmoodstavce"/>
    <w:link w:val="Nadpis2"/>
    <w:uiPriority w:val="9"/>
    <w:semiHidden/>
    <w:rsid w:val="00D936B7"/>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723424"/>
    <w:rPr>
      <w:sz w:val="16"/>
      <w:szCs w:val="16"/>
    </w:rPr>
  </w:style>
  <w:style w:type="paragraph" w:styleId="Textkomente">
    <w:name w:val="annotation text"/>
    <w:basedOn w:val="Normln"/>
    <w:link w:val="TextkomenteChar"/>
    <w:uiPriority w:val="99"/>
    <w:semiHidden/>
    <w:unhideWhenUsed/>
    <w:rsid w:val="00723424"/>
  </w:style>
  <w:style w:type="character" w:customStyle="1" w:styleId="TextkomenteChar">
    <w:name w:val="Text komentáře Char"/>
    <w:basedOn w:val="Standardnpsmoodstavce"/>
    <w:link w:val="Textkomente"/>
    <w:uiPriority w:val="99"/>
    <w:semiHidden/>
    <w:rsid w:val="00723424"/>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723424"/>
    <w:rPr>
      <w:b/>
      <w:bCs/>
    </w:rPr>
  </w:style>
  <w:style w:type="character" w:customStyle="1" w:styleId="PedmtkomenteChar">
    <w:name w:val="Předmět komentáře Char"/>
    <w:basedOn w:val="TextkomenteChar"/>
    <w:link w:val="Pedmtkomente"/>
    <w:uiPriority w:val="99"/>
    <w:semiHidden/>
    <w:rsid w:val="00723424"/>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7234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342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4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AC14-4674-4BBF-BE4E-9A454524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5297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VÚVeL Brno</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Lazor</dc:creator>
  <cp:keywords/>
  <dc:description/>
  <cp:lastModifiedBy>Marek Viskot</cp:lastModifiedBy>
  <cp:revision>2</cp:revision>
  <cp:lastPrinted>2019-01-08T10:19:00Z</cp:lastPrinted>
  <dcterms:created xsi:type="dcterms:W3CDTF">2021-02-10T19:41:00Z</dcterms:created>
  <dcterms:modified xsi:type="dcterms:W3CDTF">2021-02-10T19:41:00Z</dcterms:modified>
</cp:coreProperties>
</file>