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FC" w:rsidRPr="008D6692" w:rsidRDefault="00BD76E1" w:rsidP="006D1BFC">
      <w:pPr>
        <w:pStyle w:val="Smlnadpisplohy"/>
        <w:rPr>
          <w:sz w:val="24"/>
          <w:szCs w:val="24"/>
        </w:rPr>
      </w:pPr>
      <w:r w:rsidRPr="008D6692">
        <w:rPr>
          <w:sz w:val="24"/>
          <w:szCs w:val="24"/>
        </w:rPr>
        <w:t>Příloha č. 1:</w:t>
      </w:r>
      <w:r w:rsidR="006D1BFC" w:rsidRPr="008D6692">
        <w:rPr>
          <w:sz w:val="24"/>
          <w:szCs w:val="24"/>
        </w:rPr>
        <w:t xml:space="preserve"> Technická specifikace</w:t>
      </w:r>
      <w:r w:rsidR="008D6692" w:rsidRPr="008D6692">
        <w:rPr>
          <w:sz w:val="24"/>
          <w:szCs w:val="24"/>
        </w:rPr>
        <w:t xml:space="preserve">: </w:t>
      </w:r>
      <w:r w:rsidR="0047145E" w:rsidRPr="008D6692">
        <w:rPr>
          <w:sz w:val="24"/>
          <w:szCs w:val="24"/>
        </w:rPr>
        <w:t xml:space="preserve"> Nástavba na UNIMOG</w:t>
      </w:r>
      <w:r w:rsidR="008D6692" w:rsidRPr="008D6692">
        <w:rPr>
          <w:sz w:val="24"/>
          <w:szCs w:val="24"/>
        </w:rPr>
        <w:t xml:space="preserve"> </w:t>
      </w:r>
      <w:r w:rsidR="0047145E" w:rsidRPr="008D6692">
        <w:rPr>
          <w:sz w:val="24"/>
          <w:szCs w:val="24"/>
        </w:rPr>
        <w:t>- přední naviják</w:t>
      </w:r>
    </w:p>
    <w:p w:rsidR="008D6692" w:rsidRDefault="008D6692" w:rsidP="008D6692">
      <w:pPr>
        <w:pStyle w:val="Smlnadpisplohy"/>
        <w:spacing w:after="0" w:line="240" w:lineRule="auto"/>
        <w:rPr>
          <w:b w:val="0"/>
          <w:sz w:val="20"/>
        </w:rPr>
      </w:pPr>
      <w:r w:rsidRPr="008D6692">
        <w:rPr>
          <w:sz w:val="20"/>
        </w:rPr>
        <w:t xml:space="preserve">Druh vozidla: </w:t>
      </w:r>
      <w:r w:rsidRPr="008D6692">
        <w:rPr>
          <w:b w:val="0"/>
          <w:sz w:val="20"/>
        </w:rPr>
        <w:t xml:space="preserve">Nákladní automobil, </w:t>
      </w:r>
      <w:r>
        <w:rPr>
          <w:b w:val="0"/>
          <w:sz w:val="20"/>
        </w:rPr>
        <w:t>n</w:t>
      </w:r>
      <w:r w:rsidRPr="008D6692">
        <w:rPr>
          <w:b w:val="0"/>
          <w:sz w:val="20"/>
        </w:rPr>
        <w:t>osič výměnných nástaveb</w:t>
      </w:r>
    </w:p>
    <w:p w:rsidR="008D6692" w:rsidRDefault="008D6692" w:rsidP="008D6692">
      <w:pPr>
        <w:pStyle w:val="Smlnadpisplohy"/>
        <w:spacing w:after="0" w:line="240" w:lineRule="auto"/>
        <w:rPr>
          <w:sz w:val="20"/>
        </w:rPr>
      </w:pPr>
      <w:r>
        <w:rPr>
          <w:sz w:val="20"/>
        </w:rPr>
        <w:t xml:space="preserve">Kategorie vozidla: </w:t>
      </w:r>
      <w:r w:rsidRPr="008D6692">
        <w:rPr>
          <w:b w:val="0"/>
          <w:sz w:val="20"/>
        </w:rPr>
        <w:t>N2G</w:t>
      </w:r>
    </w:p>
    <w:p w:rsidR="008D6692" w:rsidRDefault="008D6692" w:rsidP="008D6692">
      <w:pPr>
        <w:pStyle w:val="Smlnadpisplohy"/>
        <w:spacing w:after="0" w:line="240" w:lineRule="auto"/>
        <w:rPr>
          <w:sz w:val="20"/>
        </w:rPr>
      </w:pPr>
      <w:r>
        <w:rPr>
          <w:sz w:val="20"/>
        </w:rPr>
        <w:t xml:space="preserve">Tovární značka: </w:t>
      </w:r>
      <w:r w:rsidRPr="008D6692">
        <w:rPr>
          <w:b w:val="0"/>
          <w:sz w:val="20"/>
        </w:rPr>
        <w:t>MERCEDES-BENZ</w:t>
      </w:r>
    </w:p>
    <w:p w:rsidR="008D6692" w:rsidRDefault="008D6692" w:rsidP="008D6692">
      <w:pPr>
        <w:pStyle w:val="Smlnadpisplohy"/>
        <w:spacing w:after="0" w:line="240" w:lineRule="auto"/>
        <w:rPr>
          <w:sz w:val="20"/>
        </w:rPr>
      </w:pPr>
      <w:r>
        <w:rPr>
          <w:sz w:val="20"/>
        </w:rPr>
        <w:t xml:space="preserve">Typ: </w:t>
      </w:r>
      <w:r w:rsidRPr="008D6692">
        <w:rPr>
          <w:b w:val="0"/>
          <w:sz w:val="20"/>
        </w:rPr>
        <w:t>U 400</w:t>
      </w:r>
    </w:p>
    <w:p w:rsidR="008D6692" w:rsidRDefault="008D6692" w:rsidP="008D6692">
      <w:pPr>
        <w:pStyle w:val="Smlnadpisplohy"/>
        <w:spacing w:after="0" w:line="240" w:lineRule="auto"/>
        <w:rPr>
          <w:sz w:val="20"/>
        </w:rPr>
      </w:pPr>
      <w:r>
        <w:rPr>
          <w:sz w:val="20"/>
        </w:rPr>
        <w:t xml:space="preserve">Obchodní označení: </w:t>
      </w:r>
      <w:r w:rsidRPr="008D6692">
        <w:rPr>
          <w:b w:val="0"/>
          <w:sz w:val="20"/>
        </w:rPr>
        <w:t>UNIMOG</w:t>
      </w:r>
    </w:p>
    <w:p w:rsidR="008D6692" w:rsidRPr="008D6692" w:rsidRDefault="008D6692" w:rsidP="008D6692">
      <w:pPr>
        <w:pStyle w:val="Smlnadpisplohy"/>
        <w:spacing w:after="240" w:line="240" w:lineRule="auto"/>
        <w:rPr>
          <w:b w:val="0"/>
          <w:sz w:val="20"/>
        </w:rPr>
      </w:pPr>
      <w:r>
        <w:rPr>
          <w:sz w:val="20"/>
        </w:rPr>
        <w:t xml:space="preserve">VIN: </w:t>
      </w:r>
      <w:r>
        <w:rPr>
          <w:b w:val="0"/>
          <w:sz w:val="20"/>
        </w:rPr>
        <w:t>WDB4051031V230133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561"/>
        <w:gridCol w:w="2562"/>
      </w:tblGrid>
      <w:tr w:rsidR="006D1BFC" w:rsidRPr="00204E74" w:rsidTr="00457820">
        <w:trPr>
          <w:trHeight w:val="62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BFC" w:rsidRPr="00204E74" w:rsidRDefault="006D1BFC" w:rsidP="00B816EC">
            <w:pPr>
              <w:pStyle w:val="Smltabulka"/>
              <w:rPr>
                <w:rFonts w:cs="Arial"/>
                <w:b/>
              </w:rPr>
            </w:pPr>
            <w:r w:rsidRPr="00204E74">
              <w:rPr>
                <w:rFonts w:cs="Arial"/>
                <w:b/>
              </w:rPr>
              <w:t>Základní technické parametry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BFC" w:rsidRPr="00204E74" w:rsidRDefault="006D1BFC" w:rsidP="00B816EC">
            <w:pPr>
              <w:pStyle w:val="Smltabulka"/>
              <w:rPr>
                <w:rFonts w:cs="Arial"/>
                <w:b/>
              </w:rPr>
            </w:pPr>
            <w:r w:rsidRPr="00204E74">
              <w:rPr>
                <w:rFonts w:cs="Arial"/>
                <w:b/>
              </w:rPr>
              <w:t>Požadovaná úroveň parametrů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BFC" w:rsidRPr="00204E74" w:rsidRDefault="006D1BFC" w:rsidP="00B816EC">
            <w:pPr>
              <w:pStyle w:val="Smltabulka"/>
              <w:rPr>
                <w:rFonts w:cs="Arial"/>
                <w:b/>
              </w:rPr>
            </w:pPr>
            <w:r w:rsidRPr="00204E74">
              <w:rPr>
                <w:rFonts w:cs="Arial"/>
                <w:b/>
              </w:rPr>
              <w:t>Hodnota parametrů dodávky</w:t>
            </w:r>
          </w:p>
        </w:tc>
      </w:tr>
      <w:tr w:rsidR="00204E74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74" w:rsidRPr="009616D9" w:rsidRDefault="00204E74" w:rsidP="008276F4">
            <w:pPr>
              <w:pStyle w:val="Smltabulka"/>
              <w:jc w:val="left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Výrobní značka a typové označení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E74" w:rsidRPr="009616D9" w:rsidRDefault="00204E74" w:rsidP="00F74497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</w:rPr>
              <w:t>P</w:t>
            </w:r>
            <w:r w:rsidRPr="009616D9">
              <w:rPr>
                <w:rFonts w:ascii="Arial CE" w:hAnsi="Arial CE" w:cs="Arial"/>
              </w:rPr>
              <w:t>řední</w:t>
            </w:r>
            <w:r>
              <w:rPr>
                <w:rFonts w:ascii="Arial CE" w:hAnsi="Arial CE" w:cs="Arial"/>
              </w:rPr>
              <w:t xml:space="preserve"> </w:t>
            </w:r>
            <w:r w:rsidRPr="009616D9">
              <w:rPr>
                <w:rFonts w:ascii="Arial CE" w:hAnsi="Arial CE" w:cs="Arial"/>
              </w:rPr>
              <w:t>hydraulick</w:t>
            </w:r>
            <w:r>
              <w:rPr>
                <w:rFonts w:ascii="Arial CE" w:hAnsi="Arial CE" w:cs="Arial"/>
              </w:rPr>
              <w:t xml:space="preserve">ý </w:t>
            </w:r>
            <w:r w:rsidRPr="009616D9">
              <w:rPr>
                <w:rFonts w:ascii="Arial CE" w:hAnsi="Arial CE" w:cs="Arial"/>
              </w:rPr>
              <w:t>naviják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8D6692">
              <w:rPr>
                <w:rFonts w:ascii="Arial CE" w:hAnsi="Arial CE" w:cs="Arial"/>
              </w:rPr>
              <w:t>N</w:t>
            </w:r>
            <w:r w:rsidRPr="008D6692">
              <w:rPr>
                <w:rFonts w:ascii="Arial CE" w:hAnsi="Arial CE" w:cs="Arial"/>
              </w:rPr>
              <w:t xml:space="preserve">aviják </w:t>
            </w:r>
            <w:r>
              <w:rPr>
                <w:rFonts w:ascii="Arial CE" w:hAnsi="Arial CE" w:cs="Arial"/>
              </w:rPr>
              <w:t xml:space="preserve">je </w:t>
            </w:r>
            <w:r w:rsidRPr="008D6692">
              <w:rPr>
                <w:rFonts w:ascii="Arial CE" w:hAnsi="Arial CE" w:cs="Arial"/>
              </w:rPr>
              <w:t>plně kompatibilní</w:t>
            </w:r>
            <w:r>
              <w:rPr>
                <w:rFonts w:ascii="Arial CE" w:hAnsi="Arial CE" w:cs="Arial"/>
              </w:rPr>
              <w:t xml:space="preserve"> s výše uvedeným typem vozidla UNIMOG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Funkce volnoběhu navíjecího bubnu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Pohon bubnu navijáku s robustný</w:t>
            </w:r>
            <w:bookmarkStart w:id="0" w:name="_GoBack"/>
            <w:bookmarkEnd w:id="0"/>
            <w:r w:rsidRPr="009616D9">
              <w:rPr>
                <w:rFonts w:ascii="Arial CE" w:hAnsi="Arial CE" w:cs="Arial"/>
              </w:rPr>
              <w:t>m šnekovým převodem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Dálkové ovládání navijáku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Samočinné řazení a ukládání lana na buben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Brzda, přítlačná kladka, pojistka proti přetížení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Lano</w:t>
            </w:r>
            <w:r>
              <w:rPr>
                <w:rFonts w:ascii="Arial CE" w:hAnsi="Arial CE" w:cs="Arial"/>
              </w:rPr>
              <w:t xml:space="preserve"> (ocel) </w:t>
            </w:r>
            <w:r w:rsidRPr="009616D9">
              <w:rPr>
                <w:rFonts w:ascii="Arial CE" w:hAnsi="Arial CE" w:cs="Arial"/>
              </w:rPr>
              <w:t>o min. průměru 13 mm, délce min. 40 m, zakončené hákem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Tahová síla při spodní poloze lana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  <w:color w:val="FF0000"/>
              </w:rPr>
            </w:pPr>
            <w:r w:rsidRPr="00170985">
              <w:rPr>
                <w:rFonts w:ascii="Arial CE" w:hAnsi="Arial CE" w:cs="Arial"/>
              </w:rPr>
              <w:t>min. 6 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Pohon od hydrauliky vozidla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</w:rPr>
              <w:t>Prostřednictvím navijáku m</w:t>
            </w:r>
            <w:r w:rsidRPr="009616D9">
              <w:rPr>
                <w:rFonts w:ascii="Arial CE" w:hAnsi="Arial CE" w:cs="Arial"/>
              </w:rPr>
              <w:t>ožnost tahání předmětů, uvolňování, samovyprošťování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9616D9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170985" w:rsidRDefault="008D6692" w:rsidP="008D6692">
            <w:pPr>
              <w:pStyle w:val="Smltabulka"/>
              <w:jc w:val="left"/>
              <w:rPr>
                <w:rFonts w:ascii="Arial CE" w:hAnsi="Arial CE" w:cs="Arial"/>
              </w:rPr>
            </w:pPr>
            <w:r w:rsidRPr="00170985">
              <w:rPr>
                <w:rFonts w:ascii="Arial CE" w:hAnsi="Arial CE" w:cs="Arial"/>
              </w:rPr>
              <w:t>Elektrická soustava 24 V</w:t>
            </w:r>
            <w:r>
              <w:rPr>
                <w:rFonts w:ascii="Arial CE" w:hAnsi="Arial CE" w:cs="Arial"/>
              </w:rPr>
              <w:t xml:space="preserve"> (připojení zásuvka)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170985" w:rsidRDefault="008D6692" w:rsidP="008D6692">
            <w:pPr>
              <w:pStyle w:val="Smltabulka"/>
              <w:rPr>
                <w:rFonts w:ascii="Arial CE" w:hAnsi="Arial CE" w:cs="Arial"/>
              </w:rPr>
            </w:pPr>
            <w:r w:rsidRPr="00170985">
              <w:rPr>
                <w:rFonts w:ascii="Arial CE" w:hAnsi="Arial CE" w:cs="Arial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 w:line="240" w:lineRule="auto"/>
              <w:jc w:val="left"/>
              <w:rPr>
                <w:rFonts w:ascii="Arial CE" w:hAnsi="Arial CE"/>
                <w:color w:val="000000"/>
                <w:lang w:eastAsia="cs-CZ"/>
              </w:rPr>
            </w:pPr>
            <w:r w:rsidRPr="009616D9">
              <w:rPr>
                <w:rFonts w:ascii="Arial CE" w:hAnsi="Arial CE"/>
                <w:color w:val="000000"/>
                <w:lang w:eastAsia="cs-CZ"/>
              </w:rPr>
              <w:t>Hmotnost navijáku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 w:line="240" w:lineRule="auto"/>
              <w:jc w:val="center"/>
              <w:rPr>
                <w:rFonts w:ascii="Arial CE" w:hAnsi="Arial CE"/>
                <w:color w:val="000000"/>
                <w:lang w:eastAsia="cs-CZ"/>
              </w:rPr>
            </w:pPr>
            <w:r w:rsidRPr="009616D9">
              <w:rPr>
                <w:rFonts w:ascii="Arial CE" w:hAnsi="Arial CE"/>
                <w:color w:val="000000"/>
                <w:lang w:eastAsia="cs-CZ"/>
              </w:rPr>
              <w:t>max. 250 kg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  <w:tr w:rsidR="008D6692" w:rsidRPr="00204E74" w:rsidTr="008D6692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 w:line="240" w:lineRule="auto"/>
              <w:jc w:val="left"/>
              <w:rPr>
                <w:rFonts w:ascii="Arial CE" w:hAnsi="Arial CE" w:cs="Arial"/>
                <w:lang w:eastAsia="cs-CZ"/>
              </w:rPr>
            </w:pPr>
            <w:r w:rsidRPr="009616D9">
              <w:rPr>
                <w:rFonts w:ascii="Arial CE" w:hAnsi="Arial CE" w:cs="Arial"/>
                <w:lang w:eastAsia="cs-CZ"/>
              </w:rPr>
              <w:t>Návody k obsluze v češtině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 w:line="240" w:lineRule="auto"/>
              <w:jc w:val="center"/>
              <w:rPr>
                <w:rFonts w:ascii="Arial CE" w:hAnsi="Arial CE" w:cs="Arial"/>
                <w:lang w:eastAsia="cs-CZ"/>
              </w:rPr>
            </w:pPr>
            <w:r w:rsidRPr="009616D9">
              <w:rPr>
                <w:rFonts w:ascii="Arial CE" w:hAnsi="Arial CE" w:cs="Arial"/>
                <w:lang w:eastAsia="cs-CZ"/>
              </w:rPr>
              <w:t>ANO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2" w:rsidRPr="009616D9" w:rsidRDefault="008D6692" w:rsidP="008D6692">
            <w:pPr>
              <w:spacing w:after="0"/>
              <w:jc w:val="center"/>
              <w:rPr>
                <w:rFonts w:ascii="Arial CE" w:hAnsi="Arial CE"/>
              </w:rPr>
            </w:pPr>
            <w:r w:rsidRPr="009616D9">
              <w:rPr>
                <w:rFonts w:ascii="Arial CE" w:hAnsi="Arial CE" w:cs="Arial"/>
                <w:i/>
                <w:color w:val="A6A6A6" w:themeColor="background1" w:themeShade="A6"/>
                <w:highlight w:val="yellow"/>
              </w:rPr>
              <w:t>(vyplní prodávající)</w:t>
            </w:r>
          </w:p>
        </w:tc>
      </w:tr>
    </w:tbl>
    <w:p w:rsidR="006D1BFC" w:rsidRPr="00204E74" w:rsidRDefault="006D1BFC" w:rsidP="006D1BFC">
      <w:pPr>
        <w:rPr>
          <w:rFonts w:cs="Arial"/>
        </w:rPr>
      </w:pPr>
    </w:p>
    <w:p w:rsidR="006D1BFC" w:rsidRPr="00204E74" w:rsidRDefault="006D1BFC" w:rsidP="006D1BFC">
      <w:pPr>
        <w:rPr>
          <w:rFonts w:cs="Arial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4395"/>
        <w:gridCol w:w="2410"/>
        <w:gridCol w:w="2551"/>
      </w:tblGrid>
      <w:tr w:rsidR="00204E74" w:rsidRPr="00204E74" w:rsidTr="002E7C74">
        <w:trPr>
          <w:trHeight w:val="499"/>
        </w:trPr>
        <w:tc>
          <w:tcPr>
            <w:tcW w:w="9356" w:type="dxa"/>
            <w:gridSpan w:val="3"/>
            <w:vAlign w:val="center"/>
          </w:tcPr>
          <w:p w:rsidR="00204E74" w:rsidRPr="00204E74" w:rsidRDefault="00204E74" w:rsidP="00204E74">
            <w:pPr>
              <w:spacing w:after="0"/>
              <w:jc w:val="left"/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i/>
              </w:rPr>
              <w:t>Předání</w:t>
            </w:r>
          </w:p>
        </w:tc>
      </w:tr>
      <w:tr w:rsidR="006D1BFC" w:rsidRPr="00204E74" w:rsidTr="002E7C74">
        <w:trPr>
          <w:trHeight w:val="1092"/>
        </w:trPr>
        <w:tc>
          <w:tcPr>
            <w:tcW w:w="4395" w:type="dxa"/>
            <w:vAlign w:val="center"/>
          </w:tcPr>
          <w:p w:rsidR="006D1BFC" w:rsidRPr="00204E74" w:rsidRDefault="00170985" w:rsidP="00B816EC">
            <w:pPr>
              <w:pStyle w:val="Smlodstavec"/>
              <w:numPr>
                <w:ilvl w:val="0"/>
                <w:numId w:val="0"/>
              </w:numPr>
              <w:spacing w:after="0" w:line="240" w:lineRule="auto"/>
              <w:ind w:left="28" w:right="130"/>
              <w:jc w:val="left"/>
              <w:rPr>
                <w:rFonts w:ascii="Arial" w:hAnsi="Arial" w:cs="Arial"/>
              </w:rPr>
            </w:pPr>
            <w:r w:rsidRPr="00204E74">
              <w:rPr>
                <w:rFonts w:ascii="Arial" w:hAnsi="Arial" w:cs="Arial"/>
              </w:rPr>
              <w:t xml:space="preserve">Plnění předmětu smlouvy zahrnuje dopravu předmětu koupě na místo předání a převzetí, </w:t>
            </w:r>
            <w:r>
              <w:rPr>
                <w:rFonts w:ascii="Arial" w:hAnsi="Arial" w:cs="Arial"/>
              </w:rPr>
              <w:t xml:space="preserve">osazení, </w:t>
            </w:r>
            <w:r w:rsidRPr="00204E74">
              <w:rPr>
                <w:rFonts w:ascii="Arial" w:hAnsi="Arial" w:cs="Arial"/>
              </w:rPr>
              <w:t>zprovoznění před</w:t>
            </w:r>
            <w:r>
              <w:rPr>
                <w:rFonts w:ascii="Arial" w:hAnsi="Arial" w:cs="Arial"/>
              </w:rPr>
              <w:t>mětu koupě a proškolení obsluhy</w:t>
            </w:r>
          </w:p>
        </w:tc>
        <w:tc>
          <w:tcPr>
            <w:tcW w:w="2410" w:type="dxa"/>
            <w:vAlign w:val="center"/>
          </w:tcPr>
          <w:p w:rsidR="006D1BFC" w:rsidRPr="00204E74" w:rsidRDefault="006D1BFC" w:rsidP="00B816EC">
            <w:pPr>
              <w:jc w:val="center"/>
              <w:rPr>
                <w:rFonts w:ascii="Arial" w:hAnsi="Arial" w:cs="Arial"/>
              </w:rPr>
            </w:pPr>
            <w:r w:rsidRPr="00204E74">
              <w:rPr>
                <w:rFonts w:ascii="Arial" w:hAnsi="Arial" w:cs="Arial"/>
              </w:rPr>
              <w:t>ANO</w:t>
            </w:r>
          </w:p>
        </w:tc>
        <w:tc>
          <w:tcPr>
            <w:tcW w:w="2551" w:type="dxa"/>
            <w:vAlign w:val="center"/>
          </w:tcPr>
          <w:p w:rsidR="006D1BFC" w:rsidRPr="00204E74" w:rsidRDefault="006D1BFC" w:rsidP="00204E7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highlight w:val="yellow"/>
              </w:rPr>
            </w:pPr>
            <w:r w:rsidRPr="00204E74">
              <w:rPr>
                <w:rFonts w:ascii="Arial" w:hAnsi="Arial" w:cs="Arial"/>
                <w:i/>
                <w:color w:val="A6A6A6" w:themeColor="background1" w:themeShade="A6"/>
                <w:highlight w:val="yellow"/>
              </w:rPr>
              <w:t xml:space="preserve">(vyplní </w:t>
            </w:r>
            <w:r w:rsidR="00204E74">
              <w:rPr>
                <w:rFonts w:ascii="Arial" w:hAnsi="Arial" w:cs="Arial"/>
                <w:i/>
                <w:color w:val="A6A6A6" w:themeColor="background1" w:themeShade="A6"/>
                <w:highlight w:val="yellow"/>
              </w:rPr>
              <w:t>prodávající</w:t>
            </w:r>
            <w:r w:rsidRPr="00204E74">
              <w:rPr>
                <w:rFonts w:ascii="Arial" w:hAnsi="Arial" w:cs="Arial"/>
                <w:i/>
                <w:color w:val="A6A6A6" w:themeColor="background1" w:themeShade="A6"/>
                <w:highlight w:val="yellow"/>
              </w:rPr>
              <w:t>)</w:t>
            </w:r>
          </w:p>
        </w:tc>
      </w:tr>
    </w:tbl>
    <w:p w:rsidR="006D1BFC" w:rsidRDefault="006D1BFC" w:rsidP="006D1BFC">
      <w:pPr>
        <w:rPr>
          <w:rFonts w:cs="Arial"/>
        </w:rPr>
      </w:pPr>
    </w:p>
    <w:p w:rsidR="009E3E0E" w:rsidRDefault="009E3E0E"/>
    <w:sectPr w:rsidR="009E3E0E" w:rsidSect="008D6692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23" w:rsidRDefault="00AE3B23" w:rsidP="006D1BFC">
      <w:pPr>
        <w:spacing w:after="0" w:line="240" w:lineRule="auto"/>
      </w:pPr>
      <w:r>
        <w:separator/>
      </w:r>
    </w:p>
  </w:endnote>
  <w:endnote w:type="continuationSeparator" w:id="0">
    <w:p w:rsidR="00AE3B23" w:rsidRDefault="00AE3B23" w:rsidP="006D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23" w:rsidRDefault="00AE3B23" w:rsidP="006D1BFC">
      <w:pPr>
        <w:spacing w:after="0" w:line="240" w:lineRule="auto"/>
      </w:pPr>
      <w:r>
        <w:separator/>
      </w:r>
    </w:p>
  </w:footnote>
  <w:footnote w:type="continuationSeparator" w:id="0">
    <w:p w:rsidR="00AE3B23" w:rsidRDefault="00AE3B23" w:rsidP="006D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FC"/>
    <w:rsid w:val="00000DBA"/>
    <w:rsid w:val="00046C72"/>
    <w:rsid w:val="00071B27"/>
    <w:rsid w:val="00090EB6"/>
    <w:rsid w:val="000D60A9"/>
    <w:rsid w:val="000E0E58"/>
    <w:rsid w:val="00170985"/>
    <w:rsid w:val="001B599F"/>
    <w:rsid w:val="00204E74"/>
    <w:rsid w:val="002666C9"/>
    <w:rsid w:val="00267C3C"/>
    <w:rsid w:val="002A22F4"/>
    <w:rsid w:val="002E7C74"/>
    <w:rsid w:val="002F56C6"/>
    <w:rsid w:val="0030597A"/>
    <w:rsid w:val="00374402"/>
    <w:rsid w:val="003C16BF"/>
    <w:rsid w:val="00416029"/>
    <w:rsid w:val="00457820"/>
    <w:rsid w:val="0047145E"/>
    <w:rsid w:val="00473CA5"/>
    <w:rsid w:val="004B7822"/>
    <w:rsid w:val="00572F33"/>
    <w:rsid w:val="00623872"/>
    <w:rsid w:val="006406D4"/>
    <w:rsid w:val="00673760"/>
    <w:rsid w:val="0068634E"/>
    <w:rsid w:val="00697B73"/>
    <w:rsid w:val="006B7239"/>
    <w:rsid w:val="006D0784"/>
    <w:rsid w:val="006D1BFC"/>
    <w:rsid w:val="0072025F"/>
    <w:rsid w:val="00772FD0"/>
    <w:rsid w:val="007912F7"/>
    <w:rsid w:val="007E36F0"/>
    <w:rsid w:val="008276F4"/>
    <w:rsid w:val="00872311"/>
    <w:rsid w:val="0089191F"/>
    <w:rsid w:val="00892E03"/>
    <w:rsid w:val="008D6692"/>
    <w:rsid w:val="009467C0"/>
    <w:rsid w:val="00956379"/>
    <w:rsid w:val="009616D9"/>
    <w:rsid w:val="009831D4"/>
    <w:rsid w:val="009E3E0E"/>
    <w:rsid w:val="00A81B90"/>
    <w:rsid w:val="00AA3048"/>
    <w:rsid w:val="00AA4139"/>
    <w:rsid w:val="00AB10C0"/>
    <w:rsid w:val="00AE3B23"/>
    <w:rsid w:val="00AE3F1F"/>
    <w:rsid w:val="00AF30E6"/>
    <w:rsid w:val="00B04EC4"/>
    <w:rsid w:val="00B52DBD"/>
    <w:rsid w:val="00B70633"/>
    <w:rsid w:val="00B87060"/>
    <w:rsid w:val="00BB17AD"/>
    <w:rsid w:val="00BD76E1"/>
    <w:rsid w:val="00BF6E2C"/>
    <w:rsid w:val="00C05E71"/>
    <w:rsid w:val="00D01AAD"/>
    <w:rsid w:val="00D04135"/>
    <w:rsid w:val="00D4577F"/>
    <w:rsid w:val="00D70428"/>
    <w:rsid w:val="00D71C7E"/>
    <w:rsid w:val="00D73599"/>
    <w:rsid w:val="00D775E3"/>
    <w:rsid w:val="00D928CE"/>
    <w:rsid w:val="00DA48DF"/>
    <w:rsid w:val="00DD02A1"/>
    <w:rsid w:val="00E45F6A"/>
    <w:rsid w:val="00E77885"/>
    <w:rsid w:val="00ED3B61"/>
    <w:rsid w:val="00F30424"/>
    <w:rsid w:val="00F46F3A"/>
    <w:rsid w:val="00F602E7"/>
    <w:rsid w:val="00F74497"/>
    <w:rsid w:val="00F86067"/>
    <w:rsid w:val="00F9734A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595A"/>
  <w15:chartTrackingRefBased/>
  <w15:docId w15:val="{DF771849-C2B0-43D6-BB60-979B891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3"/>
    <w:qFormat/>
    <w:rsid w:val="006D1BFC"/>
    <w:pPr>
      <w:spacing w:after="120" w:line="276" w:lineRule="auto"/>
      <w:jc w:val="both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psmeno">
    <w:name w:val="Sml_písmeno"/>
    <w:basedOn w:val="Normln"/>
    <w:uiPriority w:val="2"/>
    <w:qFormat/>
    <w:rsid w:val="006D1BFC"/>
    <w:pPr>
      <w:numPr>
        <w:ilvl w:val="2"/>
        <w:numId w:val="1"/>
      </w:numPr>
      <w:ind w:hanging="283"/>
    </w:pPr>
  </w:style>
  <w:style w:type="paragraph" w:customStyle="1" w:styleId="Smlodstavec">
    <w:name w:val="Sml_odstavec"/>
    <w:basedOn w:val="Normln"/>
    <w:link w:val="SmlodstavecChar"/>
    <w:uiPriority w:val="1"/>
    <w:qFormat/>
    <w:rsid w:val="006D1BFC"/>
    <w:pPr>
      <w:numPr>
        <w:ilvl w:val="1"/>
        <w:numId w:val="1"/>
      </w:numPr>
    </w:pPr>
  </w:style>
  <w:style w:type="character" w:customStyle="1" w:styleId="SmlodstavecChar">
    <w:name w:val="Sml_odstavec Char"/>
    <w:link w:val="Smlodstavec"/>
    <w:uiPriority w:val="1"/>
    <w:rsid w:val="006D1BFC"/>
    <w:rPr>
      <w:rFonts w:eastAsia="Times New Roman" w:cs="Times New Roman"/>
    </w:rPr>
  </w:style>
  <w:style w:type="paragraph" w:customStyle="1" w:styleId="Smllnek">
    <w:name w:val="Sml_článek"/>
    <w:basedOn w:val="Normln"/>
    <w:next w:val="Smlodstavec"/>
    <w:qFormat/>
    <w:rsid w:val="006D1BFC"/>
    <w:pPr>
      <w:keepNext/>
      <w:numPr>
        <w:numId w:val="1"/>
      </w:numPr>
      <w:spacing w:before="360"/>
      <w:jc w:val="center"/>
      <w:outlineLvl w:val="0"/>
    </w:pPr>
    <w:rPr>
      <w:b/>
      <w:sz w:val="22"/>
      <w:u w:val="single"/>
    </w:rPr>
  </w:style>
  <w:style w:type="table" w:styleId="Mkatabulky">
    <w:name w:val="Table Grid"/>
    <w:basedOn w:val="Normlntabulka"/>
    <w:rsid w:val="006D1BF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D1BFC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6D1BFC"/>
    <w:rPr>
      <w:rFonts w:eastAsia="Times New Roman" w:cs="Times New Roman"/>
    </w:rPr>
  </w:style>
  <w:style w:type="paragraph" w:customStyle="1" w:styleId="Smltabulka">
    <w:name w:val="Sml_tabulka"/>
    <w:basedOn w:val="Normln"/>
    <w:link w:val="SmltabulkaChar"/>
    <w:uiPriority w:val="5"/>
    <w:qFormat/>
    <w:rsid w:val="006D1BFC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6D1BFC"/>
    <w:rPr>
      <w:rFonts w:eastAsia="Times New Roman" w:cs="Times New Roma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D1BFC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D1BFC"/>
    <w:rPr>
      <w:rFonts w:eastAsia="Times New Roman" w:cs="Times New Roman"/>
      <w:b/>
      <w:sz w:val="22"/>
    </w:rPr>
  </w:style>
  <w:style w:type="paragraph" w:styleId="Zhlav">
    <w:name w:val="header"/>
    <w:basedOn w:val="Normln"/>
    <w:link w:val="ZhlavChar"/>
    <w:uiPriority w:val="99"/>
    <w:unhideWhenUsed/>
    <w:rsid w:val="006D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BFC"/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cp:lastPrinted>2022-02-21T08:49:00Z</cp:lastPrinted>
  <dcterms:created xsi:type="dcterms:W3CDTF">2022-02-21T08:01:00Z</dcterms:created>
  <dcterms:modified xsi:type="dcterms:W3CDTF">2022-02-22T08:59:00Z</dcterms:modified>
</cp:coreProperties>
</file>