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29044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449">
        <w:rPr>
          <w:rFonts w:ascii="Times New Roman" w:hAnsi="Times New Roman" w:cs="Times New Roman"/>
          <w:b/>
          <w:sz w:val="24"/>
          <w:szCs w:val="24"/>
        </w:rPr>
        <w:t>Novohradka, Ležák, Hrochův Týnec, obnova vodního toku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51411"/>
    <w:rsid w:val="0026115D"/>
    <w:rsid w:val="00290449"/>
    <w:rsid w:val="003417BA"/>
    <w:rsid w:val="004A48E3"/>
    <w:rsid w:val="0078522B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7</cp:revision>
  <dcterms:created xsi:type="dcterms:W3CDTF">2022-03-22T08:40:00Z</dcterms:created>
  <dcterms:modified xsi:type="dcterms:W3CDTF">2025-05-28T13:48:00Z</dcterms:modified>
</cp:coreProperties>
</file>