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82CB7D0" w:rsidR="00B0410B" w:rsidRPr="00634962" w:rsidRDefault="00B738E7" w:rsidP="001027E1">
            <w:pPr>
              <w:spacing w:line="276" w:lineRule="auto"/>
              <w:rPr>
                <w:rFonts w:ascii="Arial" w:eastAsia="Calibri" w:hAnsi="Arial" w:cs="Arial"/>
                <w:b/>
                <w:sz w:val="20"/>
                <w:szCs w:val="20"/>
              </w:rPr>
            </w:pPr>
            <w:r w:rsidRPr="00B738E7">
              <w:rPr>
                <w:rFonts w:ascii="Arial" w:hAnsi="Arial" w:cs="Arial"/>
                <w:b/>
                <w:sz w:val="20"/>
                <w:szCs w:val="20"/>
                <w:lang w:eastAsia="ar-SA"/>
              </w:rPr>
              <w:t>Řečický a Sádecký p., Řečice – Sádky, revitalizace toků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48ACB38" w:rsidR="00A56991" w:rsidRPr="00A56991" w:rsidRDefault="00B738E7" w:rsidP="00301F90">
            <w:pPr>
              <w:spacing w:line="276" w:lineRule="auto"/>
              <w:rPr>
                <w:rFonts w:ascii="Arial" w:hAnsi="Arial" w:cs="Arial"/>
                <w:b/>
                <w:color w:val="0000FF"/>
                <w:sz w:val="20"/>
                <w:szCs w:val="20"/>
                <w:u w:val="single"/>
              </w:rPr>
            </w:pPr>
            <w:r w:rsidRPr="00B738E7">
              <w:rPr>
                <w:rStyle w:val="Hypertextovodkaz"/>
                <w:rFonts w:ascii="Arial" w:hAnsi="Arial" w:cs="Arial"/>
                <w:sz w:val="20"/>
              </w:rPr>
              <w:t>https://zakazky.eagri.cz/contract_display_20663.html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450F35AA" w14:textId="258BBC67" w:rsidR="00350035" w:rsidRPr="00350035" w:rsidRDefault="009132A9" w:rsidP="00BB7DAF">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BB7DAF">
        <w:rPr>
          <w:rFonts w:ascii="Arial" w:eastAsia="Calibri" w:hAnsi="Arial" w:cs="Arial"/>
          <w:sz w:val="20"/>
          <w:szCs w:val="22"/>
        </w:rPr>
        <w:t xml:space="preserve">, jež zahrnuje minimálně </w:t>
      </w:r>
      <w:r w:rsidR="00984615">
        <w:rPr>
          <w:rFonts w:ascii="Arial" w:eastAsia="Calibri" w:hAnsi="Arial" w:cs="Arial"/>
          <w:sz w:val="20"/>
          <w:szCs w:val="22"/>
        </w:rPr>
        <w:t>dvě</w:t>
      </w:r>
      <w:r w:rsidR="00BB7DAF">
        <w:rPr>
          <w:rFonts w:ascii="Arial" w:eastAsia="Calibri" w:hAnsi="Arial" w:cs="Arial"/>
          <w:sz w:val="20"/>
          <w:szCs w:val="22"/>
        </w:rPr>
        <w:t xml:space="preserve"> zakázk</w:t>
      </w:r>
      <w:r w:rsidR="00984615">
        <w:rPr>
          <w:rFonts w:ascii="Arial" w:eastAsia="Calibri" w:hAnsi="Arial" w:cs="Arial"/>
          <w:sz w:val="20"/>
          <w:szCs w:val="22"/>
        </w:rPr>
        <w:t>y</w:t>
      </w:r>
      <w:r w:rsidR="00BB7DAF">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EB0BAE">
        <w:rPr>
          <w:rFonts w:ascii="Arial" w:eastAsia="Calibri" w:hAnsi="Arial" w:cs="Arial"/>
          <w:sz w:val="20"/>
          <w:szCs w:val="20"/>
        </w:rPr>
        <w:t>é</w:t>
      </w:r>
      <w:r w:rsidR="00430D65" w:rsidRPr="00BE0410">
        <w:rPr>
          <w:rFonts w:ascii="Arial" w:eastAsia="Calibri" w:hAnsi="Arial" w:cs="Arial"/>
          <w:sz w:val="20"/>
          <w:szCs w:val="20"/>
        </w:rPr>
        <w:t xml:space="preserve"> 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350035">
        <w:rPr>
          <w:rFonts w:ascii="Arial" w:hAnsi="Arial" w:cs="Arial"/>
          <w:sz w:val="20"/>
          <w:szCs w:val="20"/>
        </w:rPr>
        <w:t>:</w:t>
      </w:r>
    </w:p>
    <w:p w14:paraId="75669DD7" w14:textId="6A9A9223" w:rsidR="00350035" w:rsidRPr="00350035" w:rsidRDefault="00350035" w:rsidP="00350035">
      <w:pPr>
        <w:numPr>
          <w:ilvl w:val="0"/>
          <w:numId w:val="16"/>
        </w:numPr>
        <w:spacing w:before="120" w:after="60"/>
        <w:jc w:val="both"/>
        <w:rPr>
          <w:rFonts w:ascii="Arial" w:hAnsi="Arial" w:cs="Arial"/>
          <w:sz w:val="20"/>
          <w:szCs w:val="20"/>
        </w:rPr>
      </w:pPr>
      <w:r w:rsidRPr="00350035">
        <w:rPr>
          <w:rFonts w:ascii="Arial" w:hAnsi="Arial" w:cs="Arial"/>
          <w:b/>
          <w:sz w:val="20"/>
          <w:szCs w:val="20"/>
        </w:rPr>
        <w:t>jedna zakázka</w:t>
      </w:r>
      <w:r w:rsidRPr="00350035">
        <w:rPr>
          <w:rFonts w:ascii="Arial" w:hAnsi="Arial" w:cs="Arial"/>
          <w:sz w:val="20"/>
          <w:szCs w:val="20"/>
        </w:rPr>
        <w:t>, jejímž předmětem byla revitalizace vodního toku v min. hodnotě zakázky 2</w:t>
      </w:r>
      <w:r>
        <w:rPr>
          <w:rFonts w:ascii="Arial" w:hAnsi="Arial" w:cs="Arial"/>
          <w:sz w:val="20"/>
          <w:szCs w:val="20"/>
        </w:rPr>
        <w:t>,0 mil.</w:t>
      </w:r>
      <w:r w:rsidRPr="00350035">
        <w:rPr>
          <w:rFonts w:ascii="Arial" w:hAnsi="Arial" w:cs="Arial"/>
          <w:sz w:val="20"/>
          <w:szCs w:val="20"/>
        </w:rPr>
        <w:t>Kč bez DPH</w:t>
      </w:r>
    </w:p>
    <w:p w14:paraId="7CC239BD" w14:textId="5BC00952" w:rsidR="00350035" w:rsidRPr="00350035" w:rsidRDefault="00350035" w:rsidP="00350035">
      <w:pPr>
        <w:numPr>
          <w:ilvl w:val="0"/>
          <w:numId w:val="16"/>
        </w:numPr>
        <w:spacing w:before="120" w:after="60"/>
        <w:jc w:val="both"/>
        <w:rPr>
          <w:rFonts w:ascii="Arial" w:hAnsi="Arial" w:cs="Arial"/>
          <w:sz w:val="20"/>
          <w:szCs w:val="20"/>
        </w:rPr>
      </w:pPr>
      <w:r w:rsidRPr="00350035">
        <w:rPr>
          <w:rFonts w:ascii="Arial" w:hAnsi="Arial" w:cs="Arial"/>
          <w:b/>
          <w:sz w:val="20"/>
          <w:szCs w:val="20"/>
        </w:rPr>
        <w:t>jedna zakázka</w:t>
      </w:r>
      <w:r w:rsidRPr="00350035">
        <w:rPr>
          <w:rFonts w:ascii="Arial" w:hAnsi="Arial" w:cs="Arial"/>
          <w:sz w:val="20"/>
          <w:szCs w:val="20"/>
        </w:rPr>
        <w:t>, jejímž předmětem byla oprava</w:t>
      </w:r>
      <w:r>
        <w:rPr>
          <w:rFonts w:ascii="Arial" w:hAnsi="Arial" w:cs="Arial"/>
          <w:sz w:val="20"/>
          <w:szCs w:val="20"/>
        </w:rPr>
        <w:t xml:space="preserve"> nebo </w:t>
      </w:r>
      <w:r w:rsidRPr="00350035">
        <w:rPr>
          <w:rFonts w:ascii="Arial" w:hAnsi="Arial" w:cs="Arial"/>
          <w:sz w:val="20"/>
          <w:szCs w:val="20"/>
        </w:rPr>
        <w:t>rekonstrukce</w:t>
      </w:r>
      <w:r>
        <w:rPr>
          <w:rFonts w:ascii="Arial" w:hAnsi="Arial" w:cs="Arial"/>
          <w:sz w:val="20"/>
          <w:szCs w:val="20"/>
        </w:rPr>
        <w:t xml:space="preserve"> nebo </w:t>
      </w:r>
      <w:r w:rsidRPr="00350035">
        <w:rPr>
          <w:rFonts w:ascii="Arial" w:hAnsi="Arial" w:cs="Arial"/>
          <w:sz w:val="20"/>
          <w:szCs w:val="20"/>
        </w:rPr>
        <w:t xml:space="preserve">výstavba koryta vodního toku v min. hodnotě zakázky </w:t>
      </w:r>
      <w:r>
        <w:rPr>
          <w:rFonts w:ascii="Arial" w:hAnsi="Arial" w:cs="Arial"/>
          <w:sz w:val="20"/>
          <w:szCs w:val="20"/>
        </w:rPr>
        <w:t>2,0 mil.</w:t>
      </w:r>
      <w:r w:rsidRPr="00350035">
        <w:rPr>
          <w:rFonts w:ascii="Arial" w:hAnsi="Arial" w:cs="Arial"/>
          <w:sz w:val="20"/>
          <w:szCs w:val="20"/>
        </w:rPr>
        <w:t xml:space="preserve"> Kč bez DPH.</w:t>
      </w:r>
    </w:p>
    <w:p w14:paraId="0FE0973B" w14:textId="77777777" w:rsidR="00C96B07" w:rsidRDefault="00C96B07" w:rsidP="00C96B07">
      <w:pPr>
        <w:spacing w:line="276" w:lineRule="auto"/>
        <w:jc w:val="both"/>
        <w:rPr>
          <w:rFonts w:ascii="Arial" w:hAnsi="Arial" w:cs="Arial"/>
          <w:sz w:val="20"/>
          <w:szCs w:val="20"/>
          <w:highlight w:val="yellow"/>
        </w:rPr>
      </w:pPr>
    </w:p>
    <w:p w14:paraId="27D3FFDD" w14:textId="71B6E0F2" w:rsidR="0046226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p w14:paraId="5A32C38E" w14:textId="77777777" w:rsidR="00C96B07" w:rsidRPr="00685C4B" w:rsidRDefault="00C96B07" w:rsidP="00C96B07">
      <w:pPr>
        <w:ind w:right="-17"/>
        <w:jc w:val="both"/>
        <w:rPr>
          <w:rFonts w:ascii="Arial" w:hAnsi="Arial" w:cs="Arial"/>
          <w:sz w:val="20"/>
          <w:szCs w:val="20"/>
        </w:rPr>
      </w:pPr>
      <w:r w:rsidRPr="00685C4B">
        <w:rPr>
          <w:rFonts w:ascii="Arial" w:hAnsi="Arial" w:cs="Arial"/>
          <w:sz w:val="20"/>
          <w:szCs w:val="20"/>
        </w:rPr>
        <w:t xml:space="preserve">Revitalizací vodního toku se pro potřeby tohoto </w:t>
      </w:r>
      <w:r>
        <w:rPr>
          <w:rFonts w:ascii="Arial" w:hAnsi="Arial" w:cs="Arial"/>
          <w:sz w:val="20"/>
          <w:szCs w:val="20"/>
        </w:rPr>
        <w:t>výběrového</w:t>
      </w:r>
      <w:r w:rsidRPr="00685C4B">
        <w:rPr>
          <w:rFonts w:ascii="Arial" w:hAnsi="Arial" w:cs="Arial"/>
          <w:sz w:val="20"/>
          <w:szCs w:val="20"/>
        </w:rPr>
        <w:t xml:space="preserve"> řízení rozumí:</w:t>
      </w:r>
    </w:p>
    <w:p w14:paraId="6884FDD1" w14:textId="77777777" w:rsidR="00C96B07" w:rsidRPr="00685C4B" w:rsidRDefault="00C96B07" w:rsidP="00C96B07">
      <w:pPr>
        <w:pStyle w:val="Odstavecseseznamem"/>
        <w:numPr>
          <w:ilvl w:val="0"/>
          <w:numId w:val="17"/>
        </w:numPr>
        <w:ind w:right="-17"/>
        <w:contextualSpacing/>
        <w:jc w:val="both"/>
        <w:rPr>
          <w:rFonts w:ascii="Arial" w:hAnsi="Arial" w:cs="Arial"/>
          <w:sz w:val="20"/>
          <w:szCs w:val="20"/>
        </w:rPr>
      </w:pPr>
      <w:r w:rsidRPr="00685C4B">
        <w:rPr>
          <w:rFonts w:ascii="Arial" w:hAnsi="Arial" w:cs="Arial"/>
          <w:sz w:val="20"/>
          <w:szCs w:val="20"/>
        </w:rPr>
        <w:t>obnova v minulosti nevhodně technicky upravených koryt vodních toků směrem k původnímu, přírodě blízkému stavu nebo jejich vytvoření ve vhodně zvolené náhradní trase</w:t>
      </w:r>
    </w:p>
    <w:p w14:paraId="510A35F5" w14:textId="77777777" w:rsidR="00C96B07" w:rsidRPr="00685C4B" w:rsidRDefault="00C96B07" w:rsidP="00C96B07">
      <w:pPr>
        <w:pStyle w:val="Odstavecseseznamem"/>
        <w:numPr>
          <w:ilvl w:val="0"/>
          <w:numId w:val="17"/>
        </w:numPr>
        <w:ind w:right="-17"/>
        <w:contextualSpacing/>
        <w:jc w:val="both"/>
        <w:rPr>
          <w:rFonts w:ascii="Arial" w:hAnsi="Arial" w:cs="Arial"/>
          <w:sz w:val="20"/>
          <w:szCs w:val="20"/>
        </w:rPr>
      </w:pPr>
      <w:r w:rsidRPr="00685C4B">
        <w:rPr>
          <w:rFonts w:ascii="Arial" w:hAnsi="Arial" w:cs="Arial"/>
          <w:sz w:val="20"/>
          <w:szCs w:val="20"/>
        </w:rPr>
        <w:t>resp. zásah do vodního toku a jeho nivy, jehož cílem je přiblížit koryto parametrům původního přirozeného toku (definice dle ČSN 75 2101)</w:t>
      </w:r>
    </w:p>
    <w:p w14:paraId="0FC4DB96" w14:textId="77777777" w:rsidR="00C96B07" w:rsidRPr="00685C4B" w:rsidRDefault="00C96B07" w:rsidP="00C96B07">
      <w:pPr>
        <w:pStyle w:val="Odstavecseseznamem"/>
        <w:ind w:right="-17"/>
        <w:jc w:val="both"/>
        <w:rPr>
          <w:rFonts w:ascii="Arial" w:hAnsi="Arial" w:cs="Arial"/>
          <w:sz w:val="20"/>
          <w:szCs w:val="20"/>
        </w:rPr>
      </w:pPr>
    </w:p>
    <w:p w14:paraId="0E28CC55" w14:textId="77777777" w:rsidR="00C96B07" w:rsidRPr="00685C4B" w:rsidRDefault="00C96B07" w:rsidP="00C96B07">
      <w:pPr>
        <w:ind w:right="-17"/>
        <w:jc w:val="both"/>
        <w:rPr>
          <w:rFonts w:ascii="Arial" w:hAnsi="Arial" w:cs="Arial"/>
          <w:sz w:val="20"/>
          <w:szCs w:val="20"/>
        </w:rPr>
      </w:pPr>
      <w:r w:rsidRPr="00685C4B">
        <w:rPr>
          <w:rFonts w:ascii="Arial" w:hAnsi="Arial" w:cs="Arial"/>
          <w:sz w:val="20"/>
          <w:szCs w:val="20"/>
        </w:rPr>
        <w:t>Revitalizační opatření musí sledovat některý z následujících cílů:</w:t>
      </w:r>
    </w:p>
    <w:p w14:paraId="4E338D41" w14:textId="77777777" w:rsidR="00C96B07" w:rsidRPr="00685C4B" w:rsidRDefault="00C96B07" w:rsidP="00C96B07">
      <w:pPr>
        <w:numPr>
          <w:ilvl w:val="0"/>
          <w:numId w:val="18"/>
        </w:numPr>
        <w:shd w:val="clear" w:color="auto" w:fill="FFFFFF"/>
        <w:spacing w:line="234" w:lineRule="atLeast"/>
        <w:jc w:val="both"/>
        <w:rPr>
          <w:rFonts w:ascii="Arial" w:hAnsi="Arial" w:cs="Arial"/>
          <w:sz w:val="20"/>
          <w:szCs w:val="20"/>
        </w:rPr>
      </w:pPr>
      <w:r w:rsidRPr="00685C4B">
        <w:rPr>
          <w:rFonts w:ascii="Arial" w:hAnsi="Arial" w:cs="Arial"/>
          <w:sz w:val="20"/>
          <w:szCs w:val="20"/>
        </w:rPr>
        <w:t>Obnovení přirozeně velkého prostorového rozsahu koryta vodního toku, říčního pásu a přirozeně zaplavitelné nivy, včetně tvorby a podpory iniciačních opatření</w:t>
      </w:r>
    </w:p>
    <w:p w14:paraId="2ABECF2E" w14:textId="77777777" w:rsidR="00C96B07" w:rsidRPr="00685C4B" w:rsidRDefault="00C96B07" w:rsidP="00C96B07">
      <w:pPr>
        <w:numPr>
          <w:ilvl w:val="0"/>
          <w:numId w:val="18"/>
        </w:numPr>
        <w:shd w:val="clear" w:color="auto" w:fill="FFFFFF"/>
        <w:spacing w:line="234" w:lineRule="atLeast"/>
        <w:jc w:val="both"/>
        <w:rPr>
          <w:rFonts w:ascii="Arial" w:hAnsi="Arial" w:cs="Arial"/>
          <w:sz w:val="20"/>
          <w:szCs w:val="20"/>
        </w:rPr>
      </w:pPr>
      <w:r w:rsidRPr="00685C4B">
        <w:rPr>
          <w:rFonts w:ascii="Arial" w:hAnsi="Arial" w:cs="Arial"/>
          <w:sz w:val="20"/>
          <w:szCs w:val="20"/>
        </w:rPr>
        <w:t xml:space="preserve">Vytvoření koryta přirozených (morfologicky věrných) tvarů, přirozeně mělkého, velké členitosti </w:t>
      </w:r>
      <w:r>
        <w:rPr>
          <w:rFonts w:ascii="Arial" w:hAnsi="Arial" w:cs="Arial"/>
          <w:sz w:val="20"/>
          <w:szCs w:val="20"/>
        </w:rPr>
        <w:br/>
      </w:r>
      <w:r w:rsidRPr="00685C4B">
        <w:rPr>
          <w:rFonts w:ascii="Arial" w:hAnsi="Arial" w:cs="Arial"/>
          <w:sz w:val="20"/>
          <w:szCs w:val="20"/>
        </w:rPr>
        <w:t>a přirozeně malé průtočné kapacity, včetně napojování říčních ramen a odstavených meandrů</w:t>
      </w:r>
    </w:p>
    <w:p w14:paraId="751EE602" w14:textId="77777777" w:rsidR="00C96B07" w:rsidRPr="00685C4B" w:rsidRDefault="00C96B07" w:rsidP="00C96B07">
      <w:pPr>
        <w:numPr>
          <w:ilvl w:val="0"/>
          <w:numId w:val="18"/>
        </w:numPr>
        <w:shd w:val="clear" w:color="auto" w:fill="FFFFFF"/>
        <w:spacing w:line="234" w:lineRule="atLeast"/>
        <w:jc w:val="both"/>
        <w:rPr>
          <w:rFonts w:ascii="Arial" w:hAnsi="Arial" w:cs="Arial"/>
          <w:sz w:val="20"/>
          <w:szCs w:val="20"/>
        </w:rPr>
      </w:pPr>
      <w:r w:rsidRPr="00685C4B">
        <w:rPr>
          <w:rFonts w:ascii="Arial" w:hAnsi="Arial" w:cs="Arial"/>
          <w:sz w:val="20"/>
          <w:szCs w:val="20"/>
        </w:rPr>
        <w:t>Obnovení přirozené migrační prostupnosti pro vodní živočichy, tedy odstraňování migračních překážek a budování technických či přírodních opatřeních pro jejich migraci</w:t>
      </w:r>
    </w:p>
    <w:p w14:paraId="3D6AD3D0" w14:textId="77777777" w:rsidR="00C96B07" w:rsidRPr="00685C4B" w:rsidRDefault="00C96B07" w:rsidP="00C96B07">
      <w:pPr>
        <w:numPr>
          <w:ilvl w:val="0"/>
          <w:numId w:val="18"/>
        </w:numPr>
        <w:shd w:val="clear" w:color="auto" w:fill="FFFFFF"/>
        <w:spacing w:line="234" w:lineRule="atLeast"/>
        <w:jc w:val="both"/>
        <w:rPr>
          <w:rFonts w:ascii="Arial" w:hAnsi="Arial" w:cs="Arial"/>
          <w:sz w:val="20"/>
          <w:szCs w:val="20"/>
        </w:rPr>
      </w:pPr>
      <w:r w:rsidRPr="00685C4B">
        <w:rPr>
          <w:rFonts w:ascii="Arial" w:hAnsi="Arial" w:cs="Arial"/>
          <w:sz w:val="20"/>
          <w:szCs w:val="20"/>
        </w:rPr>
        <w:t>Výsadba a vytvoření podmínek pro rozvoj přirozených břehových a doprovodných porostů</w:t>
      </w:r>
    </w:p>
    <w:p w14:paraId="464C9A6B" w14:textId="77777777" w:rsidR="00C96B07" w:rsidRPr="00685C4B" w:rsidRDefault="00C96B07" w:rsidP="00C96B07">
      <w:pPr>
        <w:pStyle w:val="Odstavecseseznamem"/>
        <w:numPr>
          <w:ilvl w:val="0"/>
          <w:numId w:val="18"/>
        </w:numPr>
        <w:autoSpaceDE w:val="0"/>
        <w:autoSpaceDN w:val="0"/>
        <w:contextualSpacing/>
        <w:jc w:val="both"/>
        <w:rPr>
          <w:rFonts w:ascii="Arial" w:hAnsi="Arial" w:cs="Arial"/>
          <w:sz w:val="20"/>
          <w:szCs w:val="20"/>
        </w:rPr>
      </w:pPr>
      <w:r w:rsidRPr="00685C4B">
        <w:rPr>
          <w:rFonts w:ascii="Arial" w:hAnsi="Arial" w:cs="Arial"/>
          <w:sz w:val="20"/>
          <w:szCs w:val="20"/>
        </w:rPr>
        <w:t xml:space="preserve">Přírodě blízká protipovodňová opatření na tocích a v nivě včetně zastavěného území, v souladu s metodikou odboru ochrany vod, která stanovuje postup komplexního řešení protipovodňové </w:t>
      </w:r>
      <w:r>
        <w:rPr>
          <w:rFonts w:ascii="Arial" w:hAnsi="Arial" w:cs="Arial"/>
          <w:sz w:val="20"/>
          <w:szCs w:val="20"/>
        </w:rPr>
        <w:br/>
      </w:r>
      <w:r w:rsidRPr="00685C4B">
        <w:rPr>
          <w:rFonts w:ascii="Arial" w:hAnsi="Arial" w:cs="Arial"/>
          <w:sz w:val="20"/>
          <w:szCs w:val="20"/>
        </w:rPr>
        <w:t>a protierozní ochrany pomocí přírodě blízkých opatření. (Věstník MŽP ČR 2008-11)</w:t>
      </w:r>
    </w:p>
    <w:p w14:paraId="03CCDC22" w14:textId="77777777" w:rsidR="00C96B07" w:rsidRPr="00685C4B" w:rsidRDefault="00C96B07" w:rsidP="00C96B07">
      <w:pPr>
        <w:ind w:left="720" w:right="-17"/>
        <w:jc w:val="both"/>
        <w:rPr>
          <w:rFonts w:ascii="Arial" w:hAnsi="Arial" w:cs="Arial"/>
          <w:sz w:val="20"/>
          <w:szCs w:val="20"/>
        </w:rPr>
      </w:pPr>
    </w:p>
    <w:p w14:paraId="6525AEFC" w14:textId="77777777" w:rsidR="00C96B07" w:rsidRPr="00685C4B" w:rsidRDefault="00C96B07" w:rsidP="00C96B07">
      <w:pPr>
        <w:ind w:right="-17"/>
        <w:jc w:val="both"/>
        <w:rPr>
          <w:rFonts w:ascii="Arial" w:hAnsi="Arial" w:cs="Arial"/>
          <w:sz w:val="20"/>
          <w:szCs w:val="20"/>
        </w:rPr>
      </w:pPr>
      <w:r w:rsidRPr="00685C4B">
        <w:rPr>
          <w:rFonts w:ascii="Arial" w:hAnsi="Arial" w:cs="Arial"/>
          <w:sz w:val="20"/>
          <w:szCs w:val="20"/>
        </w:rPr>
        <w:t>V případě, že jsou součástí stavby opatření, které nejsou v přímé souvislosti s revitalizačními cíly, ale jsou ve funkčním celku s revitalizační stavbou, je možné je započítat do celkové hodnoty stavby požadované ve výběrovém řízení do výše 20% celkových nákladů stavby. V případě přírodě blízkých protipovodňových opatření se připouští tento podíl ve výši 40% z celkových nákladů stavby.</w:t>
      </w:r>
    </w:p>
    <w:p w14:paraId="77142094" w14:textId="77777777" w:rsidR="00C96B07" w:rsidRPr="00BB7DAF" w:rsidRDefault="00C96B07" w:rsidP="00127220">
      <w:pPr>
        <w:spacing w:after="200" w:line="276" w:lineRule="auto"/>
        <w:jc w:val="both"/>
        <w:rPr>
          <w:rFonts w:ascii="Arial" w:hAnsi="Arial" w:cs="Arial"/>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854237C" w:rsidR="00D27F43" w:rsidRDefault="00D27F43" w:rsidP="00B0410B">
          <w:pPr>
            <w:spacing w:line="276" w:lineRule="auto"/>
            <w:rPr>
              <w:rFonts w:ascii="Arial" w:eastAsia="Calibri" w:hAnsi="Arial" w:cs="Arial"/>
              <w:sz w:val="20"/>
              <w:szCs w:val="20"/>
              <w:lang w:eastAsia="cs-CZ"/>
            </w:rPr>
          </w:pPr>
        </w:p>
        <w:p w14:paraId="4EE240C9" w14:textId="77777777" w:rsidR="00C96B07" w:rsidRDefault="00C96B07" w:rsidP="00B0410B">
          <w:pPr>
            <w:spacing w:line="276" w:lineRule="auto"/>
            <w:rPr>
              <w:rFonts w:ascii="Arial" w:eastAsia="Calibri" w:hAnsi="Arial" w:cs="Arial"/>
              <w:sz w:val="20"/>
              <w:szCs w:val="20"/>
              <w:lang w:eastAsia="cs-CZ"/>
            </w:rPr>
          </w:pPr>
          <w:bookmarkStart w:id="4" w:name="_GoBack"/>
          <w:bookmarkEnd w:id="4"/>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lastRenderedPageBreak/>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D5773F2" w14:textId="5CEC36CA" w:rsidR="00EB0BAE"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1B8F05D9"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E8524ED"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BB7DAF">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7E5C85"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63B9E760" w14:textId="6CFEB8B9" w:rsidR="0016158A" w:rsidRPr="0087139B"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288DDB1B" w14:textId="5F0E8072" w:rsidR="009D07B4" w:rsidRPr="003B6983" w:rsidRDefault="004E684F">
    <w:pPr>
      <w:pStyle w:val="Zhlav"/>
    </w:pPr>
    <w:r>
      <w:drawing>
        <wp:inline distT="0" distB="0" distL="0" distR="0" wp14:anchorId="6E5E721E" wp14:editId="7371651F">
          <wp:extent cx="2644140" cy="541020"/>
          <wp:effectExtent l="0" t="0" r="3810" b="0"/>
          <wp:docPr id="2" name="Obrázek 2" descr="Spolufinancováno Evropskou unií Barevné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lufinancováno Evropskou unií Barevné CMYK"/>
                  <pic:cNvPicPr>
                    <a:picLocks noChangeAspect="1" noChangeArrowheads="1"/>
                  </pic:cNvPicPr>
                </pic:nvPicPr>
                <pic:blipFill>
                  <a:blip r:embed="rId1">
                    <a:extLst>
                      <a:ext uri="{28A0092B-C50C-407E-A947-70E740481C1C}">
                        <a14:useLocalDpi xmlns:a14="http://schemas.microsoft.com/office/drawing/2010/main" val="0"/>
                      </a:ext>
                    </a:extLst>
                  </a:blip>
                  <a:srcRect l="1051" t="11011" b="11011"/>
                  <a:stretch>
                    <a:fillRect/>
                  </a:stretch>
                </pic:blipFill>
                <pic:spPr bwMode="auto">
                  <a:xfrm>
                    <a:off x="0" y="0"/>
                    <a:ext cx="2644140" cy="541020"/>
                  </a:xfrm>
                  <a:prstGeom prst="rect">
                    <a:avLst/>
                  </a:prstGeom>
                  <a:noFill/>
                  <a:ln>
                    <a:noFill/>
                  </a:ln>
                </pic:spPr>
              </pic:pic>
            </a:graphicData>
          </a:graphic>
        </wp:inline>
      </w:drawing>
    </w:r>
    <w:r>
      <w:t xml:space="preserve">     </w:t>
    </w:r>
    <w:r>
      <w:t xml:space="preserve">                                                                       </w:t>
    </w:r>
    <w:r w:rsidRPr="00E74846">
      <w:rPr>
        <w:lang w:eastAsia="cs-CZ"/>
      </w:rPr>
      <w:drawing>
        <wp:inline distT="0" distB="0" distL="0" distR="0" wp14:anchorId="39A7648D" wp14:editId="65C95295">
          <wp:extent cx="541020" cy="518160"/>
          <wp:effectExtent l="0" t="0" r="0" b="0"/>
          <wp:docPr id="1" name="Obrázek 1"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r="-3616" b="62093"/>
                  <a:stretch>
                    <a:fillRect/>
                  </a:stretch>
                </pic:blipFill>
                <pic:spPr bwMode="auto">
                  <a:xfrm>
                    <a:off x="0" y="0"/>
                    <a:ext cx="541020" cy="51816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7"/>
  </w:num>
  <w:num w:numId="5">
    <w:abstractNumId w:val="6"/>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4"/>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03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684F"/>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6C8"/>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5C85"/>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139B"/>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8E7"/>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96B07"/>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662A"/>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92BB-F2DC-47D0-B6B5-93B0602B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1563</Words>
  <Characters>9840</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11381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Frajt Radim</cp:lastModifiedBy>
  <cp:revision>42</cp:revision>
  <cp:lastPrinted>2025-04-04T06:28:00Z</cp:lastPrinted>
  <dcterms:created xsi:type="dcterms:W3CDTF">2024-01-08T13:57:00Z</dcterms:created>
  <dcterms:modified xsi:type="dcterms:W3CDTF">2025-06-18T18:40:00Z</dcterms:modified>
</cp:coreProperties>
</file>