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217CC6F0" w14:textId="577C1248" w:rsidR="005814D3" w:rsidRPr="00F73B6E" w:rsidRDefault="00F73B6E" w:rsidP="009F7810">
      <w:pPr>
        <w:spacing w:before="240" w:after="240"/>
        <w:jc w:val="center"/>
        <w:rPr>
          <w:b/>
          <w:bCs/>
          <w:szCs w:val="20"/>
        </w:rPr>
      </w:pPr>
      <w:r w:rsidRPr="00F73B6E">
        <w:rPr>
          <w:b/>
          <w:bCs/>
          <w:color w:val="404040" w:themeColor="text1" w:themeTint="BF"/>
          <w:szCs w:val="20"/>
        </w:rPr>
        <w:t xml:space="preserve">Arboristické ošetření stromů v Krajině UNESCO </w:t>
      </w:r>
      <w:r w:rsidR="00224E36">
        <w:rPr>
          <w:b/>
          <w:bCs/>
          <w:color w:val="404040" w:themeColor="text1" w:themeTint="BF"/>
          <w:szCs w:val="20"/>
        </w:rPr>
        <w:t>–</w:t>
      </w:r>
      <w:r w:rsidRPr="00F73B6E">
        <w:rPr>
          <w:b/>
          <w:bCs/>
          <w:color w:val="404040" w:themeColor="text1" w:themeTint="BF"/>
          <w:szCs w:val="20"/>
        </w:rPr>
        <w:t xml:space="preserve"> </w:t>
      </w:r>
      <w:r w:rsidR="00224E36">
        <w:rPr>
          <w:b/>
          <w:bCs/>
          <w:color w:val="404040" w:themeColor="text1" w:themeTint="BF"/>
          <w:szCs w:val="20"/>
        </w:rPr>
        <w:t>jaro 2025</w:t>
      </w:r>
    </w:p>
    <w:p w14:paraId="23FCB189" w14:textId="77777777" w:rsidR="00E913CB" w:rsidRPr="00E63CB9" w:rsidRDefault="00E913CB" w:rsidP="00E913CB">
      <w:pPr>
        <w:spacing w:before="240" w:after="120"/>
        <w:rPr>
          <w:b/>
          <w:caps/>
          <w:szCs w:val="20"/>
        </w:rPr>
      </w:pPr>
      <w:r w:rsidRPr="00E63CB9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78D6EFD4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DE33C9">
        <w:rPr>
          <w:b/>
          <w:bCs/>
          <w:caps/>
          <w:szCs w:val="20"/>
        </w:rPr>
        <w:t>/výběrového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5C694D1F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DE33C9">
        <w:rPr>
          <w:szCs w:val="20"/>
        </w:rPr>
        <w:t>/výběrového</w:t>
      </w:r>
      <w:r w:rsidRPr="00E63CB9">
        <w:rPr>
          <w:szCs w:val="20"/>
        </w:rPr>
        <w:t xml:space="preserve"> řízení tímto čestně prohlašuje, že:</w:t>
      </w:r>
    </w:p>
    <w:p w14:paraId="22F19A48" w14:textId="1CAE46E7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 w:rsidR="00DE33C9">
        <w:rPr>
          <w:szCs w:val="20"/>
        </w:rPr>
        <w:t xml:space="preserve"> / ve výzvě</w:t>
      </w:r>
      <w:r>
        <w:rPr>
          <w:szCs w:val="20"/>
        </w:rPr>
        <w:t>;</w:t>
      </w:r>
    </w:p>
    <w:p w14:paraId="29B88E81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 účastník požadovanou kvalifikací disponuje.</w:t>
      </w:r>
    </w:p>
    <w:p w14:paraId="283FB63E" w14:textId="62EDEBA4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="00DE33C9">
        <w:rPr>
          <w:szCs w:val="20"/>
          <w:lang w:eastAsia="en-US"/>
        </w:rPr>
        <w:t>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="00DE33C9">
        <w:rPr>
          <w:szCs w:val="20"/>
          <w:lang w:eastAsia="en-US"/>
        </w:rPr>
        <w:t>/výběrové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1049D57F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DE33C9">
        <w:rPr>
          <w:szCs w:val="20"/>
        </w:rPr>
        <w:t>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33D6D95F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 w:rsidR="00DE33C9"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základě nařízení Rady (EU) č. 269/14 o omezujících opatřeních vzhledem </w:t>
      </w:r>
      <w:r w:rsidRPr="00DF7149">
        <w:rPr>
          <w:szCs w:val="20"/>
        </w:rPr>
        <w:lastRenderedPageBreak/>
        <w:t>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>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DF7149">
        <w:rPr>
          <w:szCs w:val="20"/>
        </w:rPr>
        <w:t>ii</w:t>
      </w:r>
      <w:proofErr w:type="spellEnd"/>
      <w:r w:rsidRPr="00DF7149">
        <w:rPr>
          <w:szCs w:val="20"/>
        </w:rPr>
        <w:t>) české právní předpisy, zejména zákon č. 69/2006 Sb., o provádění mezinárodních sankcí, 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Pr="00BF7FF1" w:rsidRDefault="00BB50DD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3DC9B0CD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 w:rsidR="00DE33C9"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E51B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9C288" w14:textId="77777777" w:rsidR="00E51B45" w:rsidRDefault="00E51B45" w:rsidP="00BA5E8D">
      <w:r>
        <w:separator/>
      </w:r>
    </w:p>
  </w:endnote>
  <w:endnote w:type="continuationSeparator" w:id="0">
    <w:p w14:paraId="6E5F5DBD" w14:textId="77777777" w:rsidR="00E51B45" w:rsidRDefault="00E51B45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61A237C4" w:rsidR="00AC7D05" w:rsidRPr="001B7045" w:rsidRDefault="00D2492E" w:rsidP="001B7045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1B7045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1B7045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1B7045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1B7045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51487993" w:rsidR="00D2492E" w:rsidRPr="001B7045" w:rsidRDefault="00D2492E" w:rsidP="001B7045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1B7045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1B7045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1B7045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1B7045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B1D4E" w14:textId="77777777" w:rsidR="00E51B45" w:rsidRDefault="00E51B45" w:rsidP="00BA5E8D">
      <w:r>
        <w:separator/>
      </w:r>
    </w:p>
  </w:footnote>
  <w:footnote w:type="continuationSeparator" w:id="0">
    <w:p w14:paraId="0B83C0C8" w14:textId="77777777" w:rsidR="00E51B45" w:rsidRDefault="00E51B45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13D9C986" w14:textId="7D595535" w:rsidR="00E474A4" w:rsidRPr="00F73B6E" w:rsidRDefault="00F73B6E" w:rsidP="009F7810">
    <w:pPr>
      <w:jc w:val="center"/>
      <w:rPr>
        <w:b/>
        <w:bCs/>
        <w:szCs w:val="20"/>
      </w:rPr>
    </w:pPr>
    <w:r w:rsidRPr="00F73B6E">
      <w:rPr>
        <w:b/>
        <w:bCs/>
        <w:color w:val="404040" w:themeColor="text1" w:themeTint="BF"/>
        <w:szCs w:val="20"/>
      </w:rPr>
      <w:t xml:space="preserve">Arboristické ošetření stromů v Krajině UNESCO </w:t>
    </w:r>
    <w:r w:rsidR="00224E36">
      <w:rPr>
        <w:b/>
        <w:bCs/>
        <w:color w:val="404040" w:themeColor="text1" w:themeTint="BF"/>
        <w:szCs w:val="20"/>
      </w:rPr>
      <w:t>–</w:t>
    </w:r>
    <w:r w:rsidRPr="00F73B6E">
      <w:rPr>
        <w:b/>
        <w:bCs/>
        <w:color w:val="404040" w:themeColor="text1" w:themeTint="BF"/>
        <w:szCs w:val="20"/>
      </w:rPr>
      <w:t xml:space="preserve"> </w:t>
    </w:r>
    <w:r w:rsidR="00224E36">
      <w:rPr>
        <w:b/>
        <w:bCs/>
        <w:color w:val="404040" w:themeColor="text1" w:themeTint="BF"/>
        <w:szCs w:val="20"/>
      </w:rPr>
      <w:t>jaro 2025</w:t>
    </w:r>
  </w:p>
  <w:p w14:paraId="2514E0CA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2D006752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038888A3" w14:textId="2025C11F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435F6"/>
    <w:rsid w:val="000527D4"/>
    <w:rsid w:val="00056FA5"/>
    <w:rsid w:val="000920EF"/>
    <w:rsid w:val="000C2025"/>
    <w:rsid w:val="000E5169"/>
    <w:rsid w:val="00105F66"/>
    <w:rsid w:val="001370E9"/>
    <w:rsid w:val="00143BC8"/>
    <w:rsid w:val="00150A7B"/>
    <w:rsid w:val="0017493C"/>
    <w:rsid w:val="00176AD1"/>
    <w:rsid w:val="001813B6"/>
    <w:rsid w:val="00191FF2"/>
    <w:rsid w:val="001B7045"/>
    <w:rsid w:val="001E30AE"/>
    <w:rsid w:val="001F3AEA"/>
    <w:rsid w:val="00203664"/>
    <w:rsid w:val="0020462D"/>
    <w:rsid w:val="00224E36"/>
    <w:rsid w:val="00260AB0"/>
    <w:rsid w:val="002827D9"/>
    <w:rsid w:val="002C4276"/>
    <w:rsid w:val="002D2D6C"/>
    <w:rsid w:val="00306269"/>
    <w:rsid w:val="00325BEB"/>
    <w:rsid w:val="0032628A"/>
    <w:rsid w:val="00363574"/>
    <w:rsid w:val="0036438F"/>
    <w:rsid w:val="00365EE2"/>
    <w:rsid w:val="00366BA5"/>
    <w:rsid w:val="0036735F"/>
    <w:rsid w:val="003812AA"/>
    <w:rsid w:val="003C0A13"/>
    <w:rsid w:val="003C5BCB"/>
    <w:rsid w:val="003C63CD"/>
    <w:rsid w:val="003E5081"/>
    <w:rsid w:val="003E71C1"/>
    <w:rsid w:val="00460418"/>
    <w:rsid w:val="004738ED"/>
    <w:rsid w:val="00483FE5"/>
    <w:rsid w:val="0049069A"/>
    <w:rsid w:val="00497AC8"/>
    <w:rsid w:val="004A1290"/>
    <w:rsid w:val="004B3BF8"/>
    <w:rsid w:val="004B408E"/>
    <w:rsid w:val="004C4017"/>
    <w:rsid w:val="004D6300"/>
    <w:rsid w:val="004E3323"/>
    <w:rsid w:val="005014D2"/>
    <w:rsid w:val="00511AAE"/>
    <w:rsid w:val="005130BA"/>
    <w:rsid w:val="005244DD"/>
    <w:rsid w:val="00527DA4"/>
    <w:rsid w:val="0054013B"/>
    <w:rsid w:val="00552B8B"/>
    <w:rsid w:val="00572F21"/>
    <w:rsid w:val="005813E1"/>
    <w:rsid w:val="005814D3"/>
    <w:rsid w:val="00590BB9"/>
    <w:rsid w:val="005F211E"/>
    <w:rsid w:val="005F33DE"/>
    <w:rsid w:val="00604A56"/>
    <w:rsid w:val="00605D26"/>
    <w:rsid w:val="00613D18"/>
    <w:rsid w:val="00622F02"/>
    <w:rsid w:val="0069658A"/>
    <w:rsid w:val="006B5500"/>
    <w:rsid w:val="006E4F9F"/>
    <w:rsid w:val="00730BB2"/>
    <w:rsid w:val="007322B2"/>
    <w:rsid w:val="00785475"/>
    <w:rsid w:val="0079686B"/>
    <w:rsid w:val="007B368D"/>
    <w:rsid w:val="007D0BBD"/>
    <w:rsid w:val="008048E9"/>
    <w:rsid w:val="008654CA"/>
    <w:rsid w:val="00876AEE"/>
    <w:rsid w:val="0088422A"/>
    <w:rsid w:val="00892EB9"/>
    <w:rsid w:val="008930DF"/>
    <w:rsid w:val="00896AF1"/>
    <w:rsid w:val="008A32F9"/>
    <w:rsid w:val="008D17B9"/>
    <w:rsid w:val="00934AF2"/>
    <w:rsid w:val="009A7BC0"/>
    <w:rsid w:val="009C7348"/>
    <w:rsid w:val="009D1567"/>
    <w:rsid w:val="009E0138"/>
    <w:rsid w:val="009F7810"/>
    <w:rsid w:val="00A061E5"/>
    <w:rsid w:val="00A44F73"/>
    <w:rsid w:val="00A62094"/>
    <w:rsid w:val="00A72BBC"/>
    <w:rsid w:val="00AC540D"/>
    <w:rsid w:val="00AC7D05"/>
    <w:rsid w:val="00AD5D2C"/>
    <w:rsid w:val="00B15CBC"/>
    <w:rsid w:val="00B173CC"/>
    <w:rsid w:val="00B81E08"/>
    <w:rsid w:val="00BA5E8D"/>
    <w:rsid w:val="00BB50DD"/>
    <w:rsid w:val="00BD4F1D"/>
    <w:rsid w:val="00BF7FF1"/>
    <w:rsid w:val="00C0052D"/>
    <w:rsid w:val="00C56352"/>
    <w:rsid w:val="00C65317"/>
    <w:rsid w:val="00C75594"/>
    <w:rsid w:val="00C76782"/>
    <w:rsid w:val="00CA1773"/>
    <w:rsid w:val="00CB56AC"/>
    <w:rsid w:val="00D054B9"/>
    <w:rsid w:val="00D22562"/>
    <w:rsid w:val="00D2492E"/>
    <w:rsid w:val="00DA776D"/>
    <w:rsid w:val="00DB5700"/>
    <w:rsid w:val="00DC033F"/>
    <w:rsid w:val="00DD4852"/>
    <w:rsid w:val="00DE07EA"/>
    <w:rsid w:val="00DE2E00"/>
    <w:rsid w:val="00DE33C9"/>
    <w:rsid w:val="00DF7149"/>
    <w:rsid w:val="00E34561"/>
    <w:rsid w:val="00E44508"/>
    <w:rsid w:val="00E474A4"/>
    <w:rsid w:val="00E51B45"/>
    <w:rsid w:val="00E56722"/>
    <w:rsid w:val="00E625BE"/>
    <w:rsid w:val="00E63CB9"/>
    <w:rsid w:val="00E913CB"/>
    <w:rsid w:val="00E94412"/>
    <w:rsid w:val="00EE7BC8"/>
    <w:rsid w:val="00F02D73"/>
    <w:rsid w:val="00F0547D"/>
    <w:rsid w:val="00F15419"/>
    <w:rsid w:val="00F34C2B"/>
    <w:rsid w:val="00F425E7"/>
    <w:rsid w:val="00F60043"/>
    <w:rsid w:val="00F73716"/>
    <w:rsid w:val="00F73B6E"/>
    <w:rsid w:val="00FA6D2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36</cp:revision>
  <cp:lastPrinted>2024-02-19T05:34:00Z</cp:lastPrinted>
  <dcterms:created xsi:type="dcterms:W3CDTF">2020-05-14T12:48:00Z</dcterms:created>
  <dcterms:modified xsi:type="dcterms:W3CDTF">2024-12-17T14:16:00Z</dcterms:modified>
</cp:coreProperties>
</file>