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1A323C3E" w:rsidR="001E45D1" w:rsidRPr="000D2CE2" w:rsidRDefault="004518D4">
            <w:pPr>
              <w:rPr>
                <w:rFonts w:ascii="Arial" w:hAnsi="Arial" w:cs="Arial"/>
              </w:rPr>
            </w:pPr>
            <w:bookmarkStart w:id="0" w:name="_Hlk114000906"/>
            <w:r w:rsidRPr="004518D4">
              <w:rPr>
                <w:rFonts w:ascii="Arial" w:hAnsi="Arial" w:cs="Arial"/>
              </w:rPr>
              <w:t>Aeroskop pro kontrolu čistých prostor</w:t>
            </w:r>
            <w:bookmarkEnd w:id="0"/>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5DF4CD4A"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1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7B3F49BF"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4518D4" w:rsidRPr="004518D4">
        <w:rPr>
          <w:rFonts w:ascii="Arial" w:eastAsia="Times New Roman" w:hAnsi="Arial" w:cs="Arial"/>
          <w:b/>
        </w:rPr>
        <w:t xml:space="preserve">Aeroskop pro kontrolu čistých prostor </w:t>
      </w:r>
      <w:r w:rsidRPr="00634174">
        <w:rPr>
          <w:rFonts w:ascii="Arial" w:eastAsia="Times New Roman" w:hAnsi="Arial" w:cs="Arial"/>
          <w:b/>
        </w:rPr>
        <w:t>”</w:t>
      </w:r>
    </w:p>
    <w:p w14:paraId="552C1B46" w14:textId="7460C95F" w:rsidR="008F0B96" w:rsidRDefault="008F0B96" w:rsidP="008F0B96">
      <w:pPr>
        <w:spacing w:line="240" w:lineRule="auto"/>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4518D4">
        <w:rPr>
          <w:rFonts w:ascii="Arial" w:eastAsia="Times New Roman" w:hAnsi="Arial" w:cs="Arial"/>
          <w:b/>
        </w:rPr>
        <w:t>2</w:t>
      </w:r>
      <w:r w:rsidR="00D46DDB" w:rsidRPr="0030237F">
        <w:rPr>
          <w:rFonts w:ascii="Arial" w:eastAsia="Times New Roman" w:hAnsi="Arial" w:cs="Arial"/>
          <w:b/>
        </w:rPr>
        <w:t xml:space="preserve"> ks zboží (</w:t>
      </w:r>
      <w:r w:rsidR="004518D4">
        <w:rPr>
          <w:rFonts w:ascii="Arial" w:eastAsia="Times New Roman" w:hAnsi="Arial" w:cs="Arial"/>
          <w:b/>
        </w:rPr>
        <w:t>aeroskopu</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55A3F9CF" w14:textId="2DB2B550" w:rsidR="004518D4" w:rsidRPr="00634174" w:rsidRDefault="004518D4" w:rsidP="008F0B96">
      <w:pPr>
        <w:spacing w:line="240" w:lineRule="auto"/>
        <w:rPr>
          <w:rFonts w:ascii="Arial" w:eastAsia="Times New Roman" w:hAnsi="Arial" w:cs="Arial"/>
          <w:b/>
        </w:rPr>
      </w:pPr>
      <w:r w:rsidRPr="001C4AD3">
        <w:rPr>
          <w:rFonts w:ascii="Arial" w:eastAsia="Times New Roman" w:hAnsi="Arial" w:cs="Arial"/>
          <w:b/>
        </w:rPr>
        <w:t>Jedná se o přístroj pro aktivní monitorování mikrobiologického znečištění vzduchu v čistých prostorách</w:t>
      </w:r>
    </w:p>
    <w:p w14:paraId="181F229A" w14:textId="77777777" w:rsidR="00F921D2"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600F1" w:rsidRPr="00F921D2" w14:paraId="4F677B9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EA04078" w14:textId="16D0DF99" w:rsidR="00F600F1" w:rsidRPr="00EE4696" w:rsidRDefault="004518D4" w:rsidP="004518D4">
            <w:pPr>
              <w:spacing w:before="240" w:after="240" w:line="240" w:lineRule="auto"/>
              <w:jc w:val="both"/>
              <w:rPr>
                <w:rFonts w:ascii="Arial" w:eastAsia="Times New Roman" w:hAnsi="Arial" w:cs="Arial"/>
              </w:rPr>
            </w:pPr>
            <w:r w:rsidRPr="004518D4">
              <w:rPr>
                <w:rFonts w:ascii="Arial" w:eastAsia="Times New Roman" w:hAnsi="Arial" w:cs="Arial"/>
              </w:rPr>
              <w:t xml:space="preserve">Kompletní přenosný systém s perforovaným autoklávovatelným víkem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4D60D7E" w14:textId="401A3128" w:rsidR="00F600F1" w:rsidRPr="00EE4696" w:rsidRDefault="00F600F1"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2D062B4" w14:textId="77777777" w:rsidR="00F600F1" w:rsidRPr="005B2A0A" w:rsidRDefault="005B2A0A">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5B2A0A"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39289964" w:rsidR="005B2A0A" w:rsidRDefault="004518D4" w:rsidP="004518D4">
            <w:pPr>
              <w:spacing w:before="240" w:after="240" w:line="240" w:lineRule="auto"/>
              <w:jc w:val="both"/>
              <w:rPr>
                <w:rFonts w:ascii="Arial" w:eastAsia="Times New Roman" w:hAnsi="Arial" w:cs="Arial"/>
              </w:rPr>
            </w:pPr>
            <w:r w:rsidRPr="004518D4">
              <w:rPr>
                <w:rFonts w:ascii="Arial" w:eastAsia="Times New Roman" w:hAnsi="Arial" w:cs="Arial"/>
              </w:rPr>
              <w:t>Pro standardní Petriho misky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7A3BFD6E" w:rsidR="005B2A0A" w:rsidRDefault="00B04387" w:rsidP="00A67D67">
            <w:pPr>
              <w:spacing w:before="240" w:after="240" w:line="240" w:lineRule="auto"/>
              <w:jc w:val="center"/>
              <w:rPr>
                <w:rFonts w:ascii="Arial" w:eastAsia="Times New Roman" w:hAnsi="Arial" w:cs="Arial"/>
              </w:rPr>
            </w:pPr>
            <w:r w:rsidRPr="00B04387">
              <w:rPr>
                <w:rFonts w:ascii="Arial" w:eastAsia="Times New Roman" w:hAnsi="Arial" w:cs="Arial"/>
              </w:rPr>
              <w:t>Pro standardní Petriho misky o rozměru 90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40F4AE75" w:rsidR="005B2A0A" w:rsidRPr="005B2A0A" w:rsidRDefault="004518D4">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A335D"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1F96BC" w14:textId="07054817" w:rsidR="00AA335D" w:rsidRPr="00FF574B" w:rsidRDefault="004518D4" w:rsidP="004518D4">
            <w:pPr>
              <w:spacing w:before="240" w:after="240" w:line="240" w:lineRule="auto"/>
              <w:jc w:val="both"/>
              <w:rPr>
                <w:rFonts w:ascii="Arial" w:eastAsia="Times New Roman" w:hAnsi="Arial" w:cs="Arial"/>
              </w:rPr>
            </w:pPr>
            <w:r w:rsidRPr="004518D4">
              <w:rPr>
                <w:rFonts w:ascii="Arial" w:eastAsia="Times New Roman" w:hAnsi="Arial" w:cs="Arial"/>
              </w:rPr>
              <w:t>Nastavitelné objemy nasávaného vzduchu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781A876F" w:rsidR="00AA335D" w:rsidRPr="00AA335D" w:rsidRDefault="004518D4" w:rsidP="00A67D67">
            <w:pPr>
              <w:spacing w:before="240" w:after="240" w:line="240" w:lineRule="auto"/>
              <w:jc w:val="center"/>
              <w:rPr>
                <w:rFonts w:ascii="Arial" w:eastAsia="Times New Roman" w:hAnsi="Arial" w:cs="Arial"/>
              </w:rPr>
            </w:pPr>
            <w:r w:rsidRPr="004518D4">
              <w:rPr>
                <w:rFonts w:ascii="Arial" w:eastAsia="Times New Roman" w:hAnsi="Arial" w:cs="Arial"/>
              </w:rPr>
              <w:t>od 50 do min. 1000 l</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77777777" w:rsidR="00AA335D" w:rsidRDefault="0081511A">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F2725" w:rsidRPr="00F921D2" w14:paraId="1799DA3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8BCE523" w14:textId="7BD6FED6" w:rsidR="007F2725" w:rsidRPr="00BB194C" w:rsidRDefault="009642AF" w:rsidP="004518D4">
            <w:pPr>
              <w:spacing w:before="240" w:after="240" w:line="240" w:lineRule="auto"/>
              <w:jc w:val="both"/>
              <w:rPr>
                <w:rFonts w:ascii="Arial" w:eastAsia="Times New Roman" w:hAnsi="Arial" w:cs="Arial"/>
              </w:rPr>
            </w:pPr>
            <w:r>
              <w:rPr>
                <w:rFonts w:ascii="Arial" w:eastAsia="Times New Roman" w:hAnsi="Arial" w:cs="Arial"/>
              </w:rPr>
              <w:t>M</w:t>
            </w:r>
            <w:r w:rsidR="004518D4" w:rsidRPr="004518D4">
              <w:rPr>
                <w:rFonts w:ascii="Arial" w:eastAsia="Times New Roman" w:hAnsi="Arial" w:cs="Arial"/>
              </w:rPr>
              <w:t>ožnost programování uživatelských cyklů</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1AF1D1F" w14:textId="04402A36" w:rsidR="007F2725" w:rsidRDefault="007F2725"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FD0AF3" w14:textId="77777777" w:rsidR="007F2725" w:rsidRDefault="007B7E19">
            <w:pPr>
              <w:spacing w:before="240" w:after="240" w:line="240" w:lineRule="auto"/>
              <w:jc w:val="center"/>
              <w:rPr>
                <w:rFonts w:ascii="Arial" w:hAnsi="Arial" w:cs="Arial"/>
                <w:iCs/>
                <w:highlight w:val="yellow"/>
              </w:rPr>
            </w:pPr>
            <w:r>
              <w:rPr>
                <w:rFonts w:ascii="Arial" w:hAnsi="Arial" w:cs="Arial"/>
                <w:iCs/>
                <w:highlight w:val="yellow"/>
              </w:rPr>
              <w:t>ANO/NE</w:t>
            </w:r>
          </w:p>
        </w:tc>
      </w:tr>
      <w:tr w:rsidR="007028D9"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454D323" w14:textId="3F53BCC9" w:rsidR="007028D9" w:rsidRPr="00BB194C" w:rsidRDefault="00AA21DE" w:rsidP="00AA21DE">
            <w:pPr>
              <w:spacing w:before="240" w:after="240" w:line="240" w:lineRule="auto"/>
              <w:jc w:val="both"/>
              <w:rPr>
                <w:rFonts w:ascii="Arial" w:eastAsia="Times New Roman" w:hAnsi="Arial" w:cs="Arial"/>
              </w:rPr>
            </w:pPr>
            <w:r w:rsidRPr="00AA21DE">
              <w:rPr>
                <w:rFonts w:ascii="Arial" w:eastAsia="Times New Roman" w:hAnsi="Arial" w:cs="Arial"/>
              </w:rPr>
              <w:t>Elektronická regulace průtoku vzduchu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5D09C297" w:rsidR="007028D9" w:rsidRDefault="00AA21DE" w:rsidP="00A67D67">
            <w:pPr>
              <w:spacing w:before="240" w:after="240" w:line="240" w:lineRule="auto"/>
              <w:jc w:val="center"/>
              <w:rPr>
                <w:rFonts w:ascii="Arial" w:eastAsia="Times New Roman" w:hAnsi="Arial" w:cs="Arial"/>
              </w:rPr>
            </w:pPr>
            <w:r w:rsidRPr="00AA21DE">
              <w:rPr>
                <w:rFonts w:ascii="Arial" w:eastAsia="Times New Roman" w:hAnsi="Arial" w:cs="Arial"/>
              </w:rPr>
              <w:t>minimální nominální průtok 100 l/min</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77777777" w:rsidR="007028D9" w:rsidRDefault="0081511A">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B32060" w:rsidRPr="00F921D2" w14:paraId="20B9137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AB478A7" w14:textId="11671744" w:rsidR="00B32060" w:rsidRDefault="00AA21DE" w:rsidP="00AA21DE">
            <w:pPr>
              <w:spacing w:before="240" w:after="240" w:line="240" w:lineRule="auto"/>
              <w:jc w:val="both"/>
              <w:rPr>
                <w:lang w:eastAsia="cs-CZ"/>
              </w:rPr>
            </w:pPr>
            <w:r w:rsidRPr="00724841">
              <w:rPr>
                <w:rFonts w:ascii="Arial" w:eastAsia="Times New Roman" w:hAnsi="Arial" w:cs="Arial"/>
              </w:rPr>
              <w:t>Funkce odloženého startu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85889F" w14:textId="3EE58EDB" w:rsidR="00B32060" w:rsidRPr="007B3E90" w:rsidRDefault="00B3206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5D6E919" w14:textId="77777777" w:rsidR="00B32060" w:rsidRDefault="00CE358C">
            <w:pPr>
              <w:spacing w:before="240" w:after="240" w:line="240" w:lineRule="auto"/>
              <w:jc w:val="center"/>
              <w:rPr>
                <w:rFonts w:ascii="Arial" w:hAnsi="Arial" w:cs="Arial"/>
                <w:iCs/>
                <w:highlight w:val="yellow"/>
              </w:rPr>
            </w:pPr>
            <w:r>
              <w:rPr>
                <w:rFonts w:ascii="Arial" w:hAnsi="Arial" w:cs="Arial"/>
                <w:iCs/>
                <w:highlight w:val="yellow"/>
              </w:rPr>
              <w:t>ANO/NE</w:t>
            </w:r>
          </w:p>
        </w:tc>
      </w:tr>
      <w:tr w:rsidR="007028D9"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2720E38F" w:rsidR="007028D9" w:rsidRPr="00BB194C" w:rsidRDefault="00AA21DE" w:rsidP="00AA21DE">
            <w:pPr>
              <w:spacing w:before="240" w:after="240" w:line="240" w:lineRule="auto"/>
              <w:jc w:val="both"/>
              <w:rPr>
                <w:rFonts w:ascii="Arial" w:eastAsia="Times New Roman" w:hAnsi="Arial" w:cs="Arial"/>
              </w:rPr>
            </w:pPr>
            <w:r w:rsidRPr="00AA21DE">
              <w:rPr>
                <w:rFonts w:ascii="Arial" w:eastAsia="Times New Roman" w:hAnsi="Arial" w:cs="Arial"/>
              </w:rPr>
              <w:t xml:space="preserve">Aplikace přístroje v čistých prostorách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59F45AF0" w:rsidR="007028D9" w:rsidRDefault="00AA21DE" w:rsidP="00A67D67">
            <w:pPr>
              <w:spacing w:before="240" w:after="240" w:line="240" w:lineRule="auto"/>
              <w:jc w:val="center"/>
              <w:rPr>
                <w:rFonts w:ascii="Arial" w:eastAsia="Times New Roman" w:hAnsi="Arial" w:cs="Arial"/>
              </w:rPr>
            </w:pPr>
            <w:r w:rsidRPr="00AA21DE">
              <w:rPr>
                <w:rFonts w:ascii="Arial" w:eastAsia="Times New Roman" w:hAnsi="Arial" w:cs="Arial"/>
              </w:rPr>
              <w:t>ČSN EN ISO 14698</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6C3EEE9E" w:rsidR="007028D9"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A21DE"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70202A82" w:rsidR="00AA21DE" w:rsidRPr="00AA21DE" w:rsidRDefault="00AA21DE" w:rsidP="00AA21DE">
            <w:pPr>
              <w:spacing w:before="240" w:after="240" w:line="240" w:lineRule="auto"/>
              <w:jc w:val="both"/>
              <w:rPr>
                <w:rFonts w:ascii="Arial" w:eastAsia="Times New Roman" w:hAnsi="Arial" w:cs="Arial"/>
              </w:rPr>
            </w:pPr>
            <w:r w:rsidRPr="00AA21DE">
              <w:rPr>
                <w:rFonts w:ascii="Arial" w:eastAsia="Times New Roman" w:hAnsi="Arial" w:cs="Arial"/>
              </w:rPr>
              <w:lastRenderedPageBreak/>
              <w:t>Alfanumerický displej</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77777777" w:rsidR="00AA21DE" w:rsidRPr="00AA21DE" w:rsidRDefault="00AA21DE"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3614B110" w:rsidR="00AA21DE"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778E5" w:rsidRPr="00F921D2" w14:paraId="0B7A04B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6CA3C78" w14:textId="61104AA6" w:rsidR="00A778E5" w:rsidRPr="00257C5F" w:rsidRDefault="00AA21DE" w:rsidP="00AA21DE">
            <w:pPr>
              <w:spacing w:before="240" w:after="240" w:line="240" w:lineRule="auto"/>
              <w:jc w:val="both"/>
              <w:rPr>
                <w:rFonts w:ascii="Arial" w:eastAsia="Times New Roman" w:hAnsi="Arial" w:cs="Arial"/>
              </w:rPr>
            </w:pPr>
            <w:r w:rsidRPr="00AA21DE">
              <w:rPr>
                <w:rFonts w:ascii="Arial" w:eastAsia="Times New Roman" w:hAnsi="Arial" w:cs="Arial"/>
              </w:rPr>
              <w:t>Dobíjecí baterie</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7E9CDE" w14:textId="679B1B08" w:rsidR="00A778E5" w:rsidRDefault="00AA21DE" w:rsidP="00A67D67">
            <w:pPr>
              <w:spacing w:before="240" w:after="240" w:line="240" w:lineRule="auto"/>
              <w:jc w:val="center"/>
              <w:rPr>
                <w:lang w:eastAsia="cs-CZ"/>
              </w:rPr>
            </w:pPr>
            <w:r w:rsidRPr="00AA21DE">
              <w:rPr>
                <w:rFonts w:ascii="Arial" w:eastAsia="Times New Roman" w:hAnsi="Arial" w:cs="Arial"/>
              </w:rPr>
              <w:t>nabíječka součástí dodávky</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F5498E3" w14:textId="6E2EDE7C" w:rsidR="00A778E5"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4256D0" w:rsidRPr="00F921D2" w14:paraId="491432A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12FE66" w14:textId="6B65F99E" w:rsidR="004256D0" w:rsidRPr="004256D0" w:rsidRDefault="00AA21DE" w:rsidP="00AA21DE">
            <w:pPr>
              <w:spacing w:before="240" w:after="240" w:line="240" w:lineRule="auto"/>
              <w:jc w:val="both"/>
              <w:rPr>
                <w:rFonts w:ascii="Arial" w:eastAsia="Times New Roman" w:hAnsi="Arial" w:cs="Arial"/>
              </w:rPr>
            </w:pPr>
            <w:r w:rsidRPr="00AA21DE">
              <w:rPr>
                <w:rFonts w:ascii="Arial" w:eastAsia="Times New Roman" w:hAnsi="Arial" w:cs="Arial"/>
              </w:rPr>
              <w:t>Zvuková signalizace ukončení cyklu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671CF" w14:textId="5B24F68F" w:rsidR="004256D0" w:rsidRPr="004256D0" w:rsidRDefault="004256D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438FB78" w14:textId="0385E8F7" w:rsidR="004256D0"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F84FC2" w:rsidRPr="00F921D2" w14:paraId="7E7BA8F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6E87834" w14:textId="706CCB34" w:rsidR="00F84FC2" w:rsidRPr="00B04387" w:rsidRDefault="00AA21DE" w:rsidP="00AA21DE">
            <w:pPr>
              <w:spacing w:before="240" w:after="240" w:line="240" w:lineRule="auto"/>
              <w:jc w:val="both"/>
              <w:rPr>
                <w:rFonts w:ascii="Arial" w:eastAsia="Times New Roman" w:hAnsi="Arial" w:cs="Arial"/>
              </w:rPr>
            </w:pPr>
            <w:r w:rsidRPr="00B04387">
              <w:rPr>
                <w:rFonts w:ascii="Arial" w:eastAsia="Times New Roman" w:hAnsi="Arial" w:cs="Arial"/>
              </w:rPr>
              <w:t>Odolnost vůči běžným dezinfekčním prostředkům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F583191" w14:textId="707E6B8B" w:rsidR="00F84FC2" w:rsidRPr="00A77772" w:rsidRDefault="00F84FC2"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57256E0" w14:textId="5A478FDC" w:rsidR="00F84FC2"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3E5348" w:rsidRPr="00F921D2" w14:paraId="6922798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90ED50A" w14:textId="0C205D07" w:rsidR="003E5348" w:rsidRPr="00B04387" w:rsidRDefault="00AA21DE" w:rsidP="00AA21DE">
            <w:pPr>
              <w:spacing w:before="240" w:after="240" w:line="240" w:lineRule="auto"/>
              <w:jc w:val="both"/>
              <w:rPr>
                <w:rFonts w:ascii="Arial" w:eastAsia="Times New Roman" w:hAnsi="Arial" w:cs="Arial"/>
              </w:rPr>
            </w:pPr>
            <w:r w:rsidRPr="00B04387">
              <w:rPr>
                <w:rFonts w:ascii="Arial" w:eastAsia="Times New Roman" w:hAnsi="Arial" w:cs="Arial"/>
              </w:rPr>
              <w:t xml:space="preserve">Garantovaná provozní doba přístroje při plném nabití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90FC675" w14:textId="2445C132" w:rsidR="003E5348" w:rsidRPr="00B04387" w:rsidRDefault="00AA21DE" w:rsidP="00A67D67">
            <w:pPr>
              <w:spacing w:before="240" w:after="240" w:line="240" w:lineRule="auto"/>
              <w:jc w:val="center"/>
              <w:rPr>
                <w:rFonts w:ascii="Arial" w:eastAsia="Times New Roman" w:hAnsi="Arial" w:cs="Arial"/>
              </w:rPr>
            </w:pPr>
            <w:r w:rsidRPr="00B04387">
              <w:rPr>
                <w:rFonts w:ascii="Arial" w:eastAsia="Times New Roman" w:hAnsi="Arial" w:cs="Arial"/>
              </w:rPr>
              <w:t>min. 4 hodiny</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D3D70EF" w14:textId="77777777" w:rsidR="003E5348" w:rsidRDefault="0081511A">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93457E" w:rsidRPr="00F921D2" w14:paraId="1041A5B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09D83A0" w14:textId="5F03C374" w:rsidR="00AA21DE" w:rsidRPr="00B04387" w:rsidRDefault="00AA21DE" w:rsidP="00AA21DE">
            <w:pPr>
              <w:spacing w:before="240" w:after="240" w:line="240" w:lineRule="auto"/>
              <w:jc w:val="both"/>
              <w:rPr>
                <w:rFonts w:ascii="Arial" w:eastAsia="Times New Roman" w:hAnsi="Arial" w:cs="Arial"/>
              </w:rPr>
            </w:pPr>
            <w:r w:rsidRPr="00B04387">
              <w:rPr>
                <w:rFonts w:ascii="Arial" w:eastAsia="Times New Roman" w:hAnsi="Arial" w:cs="Arial"/>
              </w:rPr>
              <w:t xml:space="preserve">Hmotnost </w:t>
            </w:r>
          </w:p>
          <w:p w14:paraId="6A9D4838" w14:textId="134860D4" w:rsidR="0093457E" w:rsidRPr="00B04387" w:rsidRDefault="0093457E" w:rsidP="00AA21DE">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EE8892D" w14:textId="503BBD0E" w:rsidR="0093457E" w:rsidRPr="00B04387" w:rsidRDefault="00AA21DE" w:rsidP="00A67D67">
            <w:pPr>
              <w:spacing w:before="240" w:after="240" w:line="240" w:lineRule="auto"/>
              <w:jc w:val="center"/>
              <w:rPr>
                <w:rFonts w:ascii="Arial" w:eastAsia="Times New Roman" w:hAnsi="Arial" w:cs="Arial"/>
              </w:rPr>
            </w:pPr>
            <w:r w:rsidRPr="00B04387">
              <w:rPr>
                <w:rFonts w:ascii="Arial" w:eastAsia="Times New Roman" w:hAnsi="Arial" w:cs="Arial"/>
              </w:rPr>
              <w:t>do 2</w:t>
            </w:r>
            <w:r w:rsidR="00B04387">
              <w:rPr>
                <w:rFonts w:ascii="Arial" w:eastAsia="Times New Roman" w:hAnsi="Arial" w:cs="Arial"/>
              </w:rPr>
              <w:t xml:space="preserve"> </w:t>
            </w:r>
            <w:r w:rsidRPr="00B04387">
              <w:rPr>
                <w:rFonts w:ascii="Arial" w:eastAsia="Times New Roman" w:hAnsi="Arial" w:cs="Arial"/>
              </w:rPr>
              <w:t>kg</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9E34E5A" w14:textId="0DE5DF3E" w:rsidR="0093457E" w:rsidRDefault="00AA21DE">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2D48FC" w:rsidRPr="00F921D2" w14:paraId="24D0BAF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17F4136" w14:textId="0B90F6E0" w:rsidR="002D48FC" w:rsidRPr="004256D0" w:rsidRDefault="00AA21DE" w:rsidP="002D48FC">
            <w:pPr>
              <w:spacing w:before="240" w:after="240" w:line="240" w:lineRule="auto"/>
              <w:jc w:val="both"/>
              <w:rPr>
                <w:rFonts w:ascii="Arial" w:eastAsia="Times New Roman" w:hAnsi="Arial" w:cs="Arial"/>
              </w:rPr>
            </w:pPr>
            <w:r w:rsidRPr="00B04387">
              <w:rPr>
                <w:rFonts w:ascii="Arial" w:eastAsia="Times New Roman" w:hAnsi="Arial" w:cs="Arial"/>
              </w:rPr>
              <w:t>Zajištění záručních servisních služeb (včetně pravidelné kalibrace zařízení) dodavatelem</w:t>
            </w:r>
            <w:r w:rsidR="00591B0E" w:rsidRPr="00B04387">
              <w:rPr>
                <w:rFonts w:ascii="Arial" w:eastAsia="Times New Roman" w:hAnsi="Arial" w:cs="Arial"/>
              </w:rPr>
              <w:t xml:space="preserve"> (bezplatně)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9F58564" w14:textId="4E8BBE83" w:rsidR="002D48FC" w:rsidRPr="004256D0" w:rsidRDefault="00591B0E" w:rsidP="002D48FC">
            <w:pPr>
              <w:spacing w:before="240" w:after="240" w:line="240" w:lineRule="auto"/>
              <w:jc w:val="center"/>
              <w:rPr>
                <w:rFonts w:ascii="Arial" w:eastAsia="Times New Roman" w:hAnsi="Arial" w:cs="Arial"/>
              </w:rPr>
            </w:pPr>
            <w:r w:rsidRPr="00591B0E">
              <w:rPr>
                <w:rFonts w:ascii="Arial" w:eastAsia="Times New Roman" w:hAnsi="Arial" w:cs="Arial"/>
              </w:rPr>
              <w:t>min. 1x za rok</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B0B1FD2" w14:textId="38044480" w:rsidR="002D48FC" w:rsidRDefault="00AA21DE" w:rsidP="002D48FC">
            <w:pPr>
              <w:spacing w:before="240" w:after="240" w:line="240" w:lineRule="auto"/>
              <w:jc w:val="center"/>
              <w:rPr>
                <w:rFonts w:ascii="Arial" w:hAnsi="Arial" w:cs="Arial"/>
                <w:iCs/>
                <w:highlight w:val="yellow"/>
              </w:rPr>
            </w:pPr>
            <w:r>
              <w:rPr>
                <w:rFonts w:ascii="Arial" w:hAnsi="Arial" w:cs="Arial"/>
                <w:iCs/>
                <w:highlight w:val="yellow"/>
              </w:rPr>
              <w:t>ANO/NE</w:t>
            </w:r>
          </w:p>
        </w:tc>
      </w:tr>
      <w:tr w:rsidR="00591B0E" w:rsidRPr="00F921D2" w14:paraId="7A8CEEB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6A18359" w14:textId="12915464" w:rsidR="00591B0E" w:rsidRPr="00B04387" w:rsidRDefault="000E51D8" w:rsidP="00591B0E">
            <w:pPr>
              <w:spacing w:before="240" w:after="240" w:line="240" w:lineRule="auto"/>
              <w:jc w:val="both"/>
              <w:rPr>
                <w:rFonts w:ascii="Arial" w:eastAsia="Times New Roman" w:hAnsi="Arial" w:cs="Arial"/>
              </w:rPr>
            </w:pPr>
            <w:r w:rsidRPr="009955A1">
              <w:rPr>
                <w:rFonts w:ascii="Arial" w:eastAsia="Times New Roman" w:hAnsi="Arial" w:cs="Arial"/>
              </w:rPr>
              <w:t>Dodavatel bude schopen zajistit pozáruční servisní služby (včetně pravidelné kalibrace zařízení)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D38E392" w14:textId="019F9079" w:rsidR="00591B0E" w:rsidRPr="00B04387" w:rsidRDefault="00591B0E" w:rsidP="00591B0E">
            <w:pPr>
              <w:spacing w:before="240" w:after="240" w:line="240" w:lineRule="auto"/>
              <w:jc w:val="center"/>
              <w:rPr>
                <w:rFonts w:ascii="Arial" w:eastAsia="Times New Roman" w:hAnsi="Arial" w:cs="Arial"/>
              </w:rPr>
            </w:pPr>
            <w:r w:rsidRPr="00B04387">
              <w:rPr>
                <w:rFonts w:ascii="Arial" w:eastAsia="Times New Roman" w:hAnsi="Arial" w:cs="Arial"/>
              </w:rPr>
              <w:t>min. 1x za rok po dobu dalších 5 let po uplynutí záručního servisu*</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A7F23CA" w14:textId="505B4F7A" w:rsidR="00591B0E" w:rsidRDefault="00591B0E" w:rsidP="00591B0E">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489339B" w14:textId="77777777" w:rsidR="00591B0E" w:rsidRDefault="00591B0E" w:rsidP="00591B0E">
      <w:pPr>
        <w:rPr>
          <w:rFonts w:ascii="Arial" w:eastAsia="Arial" w:hAnsi="Arial" w:cs="Arial"/>
        </w:rPr>
      </w:pPr>
    </w:p>
    <w:p w14:paraId="7DC1CC82" w14:textId="1652FDD5" w:rsidR="00F921D2" w:rsidRPr="00591B0E" w:rsidRDefault="00591B0E" w:rsidP="00591B0E">
      <w:pPr>
        <w:ind w:firstLine="708"/>
        <w:rPr>
          <w:rFonts w:ascii="Arial" w:eastAsia="Arial" w:hAnsi="Arial" w:cs="Arial"/>
        </w:rPr>
      </w:pPr>
      <w:r>
        <w:rPr>
          <w:rFonts w:ascii="Arial" w:eastAsia="Arial" w:hAnsi="Arial" w:cs="Arial"/>
        </w:rPr>
        <w:t>(*) Cena pozáručního servisu …..</w:t>
      </w:r>
      <w:r w:rsidRPr="00591B0E">
        <w:rPr>
          <w:rFonts w:ascii="Arial" w:hAnsi="Arial" w:cs="Arial"/>
          <w:i/>
          <w:highlight w:val="yellow"/>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3461A801"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1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uzavřená ve smyslu ust. § 2079 a násl. zákona č. 89/2012 Sb., občanský zákoník, v platném znění (dále jen „</w:t>
      </w:r>
      <w:r w:rsidRPr="00A45806">
        <w:rPr>
          <w:rFonts w:ascii="Arial" w:hAnsi="Arial" w:cs="Arial"/>
          <w:b/>
          <w:i/>
          <w:szCs w:val="20"/>
        </w:rPr>
        <w:t>ObčZ</w:t>
      </w:r>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232/56a;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sp.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2650D415"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591B0E" w:rsidRPr="00591B0E">
        <w:rPr>
          <w:rFonts w:ascii="Arial" w:hAnsi="Arial" w:cs="Arial"/>
          <w:b/>
          <w:sz w:val="22"/>
          <w:szCs w:val="22"/>
        </w:rPr>
        <w:t>Aeroskop pro kontrolu čistých prostor</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7E461314"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w:t>
      </w:r>
      <w:r w:rsidR="00F249C9">
        <w:rPr>
          <w:rFonts w:ascii="Arial" w:hAnsi="Arial" w:cs="Arial"/>
          <w:sz w:val="22"/>
          <w:szCs w:val="22"/>
        </w:rPr>
        <w:t> </w:t>
      </w:r>
      <w:r w:rsidRPr="00A45806">
        <w:rPr>
          <w:rFonts w:ascii="Arial" w:hAnsi="Arial" w:cs="Arial"/>
          <w:sz w:val="22"/>
          <w:szCs w:val="22"/>
        </w:rPr>
        <w:t>českém</w:t>
      </w:r>
      <w:r w:rsidR="00F249C9">
        <w:rPr>
          <w:rFonts w:ascii="Arial" w:hAnsi="Arial" w:cs="Arial"/>
          <w:sz w:val="22"/>
          <w:szCs w:val="22"/>
        </w:rPr>
        <w:t xml:space="preserve"> nebo anglickém</w:t>
      </w:r>
      <w:r w:rsidRPr="00A45806">
        <w:rPr>
          <w:rFonts w:ascii="Arial" w:hAnsi="Arial" w:cs="Arial"/>
          <w:sz w:val="22"/>
          <w:szCs w:val="22"/>
        </w:rPr>
        <w:t xml:space="preserve"> 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4067A4B9"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článku) nejpozd</w:t>
      </w:r>
      <w:r w:rsidRPr="001C4AD3">
        <w:rPr>
          <w:rFonts w:ascii="Arial" w:hAnsi="Arial" w:cs="Arial"/>
        </w:rPr>
        <w:t xml:space="preserve">ěji do </w:t>
      </w:r>
      <w:r w:rsidR="00EA6278">
        <w:rPr>
          <w:rFonts w:ascii="Arial" w:hAnsi="Arial" w:cs="Arial"/>
        </w:rPr>
        <w:t>100</w:t>
      </w:r>
      <w:r w:rsidR="00EA6278" w:rsidRPr="001C4AD3">
        <w:rPr>
          <w:rFonts w:ascii="Arial" w:hAnsi="Arial" w:cs="Arial"/>
        </w:rPr>
        <w:t xml:space="preserve"> </w:t>
      </w:r>
      <w:r w:rsidRPr="001C4AD3">
        <w:rPr>
          <w:rFonts w:ascii="Arial" w:hAnsi="Arial" w:cs="Arial"/>
        </w:rPr>
        <w:t>dnů</w:t>
      </w:r>
      <w:r w:rsidRPr="0030237F">
        <w:rPr>
          <w:rFonts w:ascii="Arial" w:hAnsi="Arial" w:cs="Arial"/>
        </w:rPr>
        <w:t xml:space="preserve"> od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232/56a;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456863B8" w:rsidR="00A45806" w:rsidRPr="00A45806" w:rsidRDefault="00A45806" w:rsidP="00A45806">
      <w:pPr>
        <w:spacing w:after="60"/>
        <w:ind w:left="708"/>
        <w:jc w:val="both"/>
        <w:rPr>
          <w:rFonts w:ascii="Arial" w:hAnsi="Arial" w:cs="Arial"/>
        </w:rPr>
      </w:pPr>
      <w:r w:rsidRPr="00A45806">
        <w:rPr>
          <w:rFonts w:ascii="Arial" w:hAnsi="Arial" w:cs="Arial"/>
        </w:rPr>
        <w:t>Kupující může výši celkové kupní ceny navýšit v průběhu trvání této smlouvy v případě zvýšení inflace o více než 5%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1C4AD3">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Prodávající bere na vědomí, že podle ust.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1"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a to ve lhůtách a způsobem uvedeným v ust.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1"/>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2"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2"/>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Odstoupit od smlouvy lze pouze z důvodů stanovených v této smlouvě nebo ObčZ.</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jestliže prodávající nedodá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Ve věcech touto smlouvou výslovně neupravených se bude tento smluvní vztah řídit ustanoveními obecně závazných právních předpisů, zejména ObčZ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1CF6F978" w:rsidR="00A161FC" w:rsidRPr="000D2CE2" w:rsidRDefault="00591B0E" w:rsidP="003D1891">
            <w:pPr>
              <w:rPr>
                <w:rFonts w:ascii="Arial" w:hAnsi="Arial" w:cs="Arial"/>
              </w:rPr>
            </w:pPr>
            <w:r w:rsidRPr="00591B0E">
              <w:rPr>
                <w:rFonts w:ascii="Arial" w:hAnsi="Arial" w:cs="Arial"/>
              </w:rPr>
              <w:t>Aeroskop pro kontrolu čistých prostor</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56BB0C34" w:rsidR="00A161FC" w:rsidRPr="000D2CE2" w:rsidRDefault="00591B0E" w:rsidP="003D1891">
            <w:pPr>
              <w:rPr>
                <w:rFonts w:ascii="Arial" w:hAnsi="Arial" w:cs="Arial"/>
              </w:rPr>
            </w:pPr>
            <w:r w:rsidRPr="00591B0E">
              <w:rPr>
                <w:rFonts w:ascii="Arial" w:hAnsi="Arial" w:cs="Arial"/>
              </w:rPr>
              <w:t>Aeroskop pro kontrolu čistých prostor</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5CE79ECA" w:rsidR="00A161FC" w:rsidRPr="000D2CE2" w:rsidRDefault="00591B0E" w:rsidP="003D1891">
            <w:pPr>
              <w:rPr>
                <w:rFonts w:ascii="Arial" w:hAnsi="Arial" w:cs="Arial"/>
              </w:rPr>
            </w:pPr>
            <w:r w:rsidRPr="00591B0E">
              <w:rPr>
                <w:rFonts w:ascii="Arial" w:hAnsi="Arial" w:cs="Arial"/>
              </w:rPr>
              <w:t>Aeroskop pro kontrolu čistých prostor</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262F564E" w:rsidR="007A4F27" w:rsidRPr="00536E15" w:rsidRDefault="00591B0E"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91B0E">
              <w:rPr>
                <w:rFonts w:ascii="Arial" w:hAnsi="Arial" w:cs="Arial"/>
                <w:sz w:val="20"/>
                <w:szCs w:val="20"/>
                <w:lang w:bidi="en-US"/>
              </w:rPr>
              <w:t>Aeroskop pro kontrolu čistých prostor</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232/56a,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6C04" w14:textId="77777777" w:rsidR="00681DC3" w:rsidRDefault="00681DC3" w:rsidP="009C2365">
      <w:pPr>
        <w:spacing w:after="0" w:line="240" w:lineRule="auto"/>
      </w:pPr>
      <w:r>
        <w:separator/>
      </w:r>
    </w:p>
  </w:endnote>
  <w:endnote w:type="continuationSeparator" w:id="0">
    <w:p w14:paraId="4C911D35" w14:textId="77777777" w:rsidR="00681DC3" w:rsidRDefault="00681DC3"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3083" w14:textId="77777777" w:rsidR="00681DC3" w:rsidRDefault="00681DC3" w:rsidP="009C2365">
      <w:pPr>
        <w:spacing w:after="0" w:line="240" w:lineRule="auto"/>
      </w:pPr>
      <w:r>
        <w:separator/>
      </w:r>
    </w:p>
  </w:footnote>
  <w:footnote w:type="continuationSeparator" w:id="0">
    <w:p w14:paraId="0684B628" w14:textId="77777777" w:rsidR="00681DC3" w:rsidRDefault="00681DC3"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4"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7"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4"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7044954">
    <w:abstractNumId w:val="17"/>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546214423">
    <w:abstractNumId w:val="2"/>
  </w:num>
  <w:num w:numId="3" w16cid:durableId="1012486553">
    <w:abstractNumId w:val="3"/>
  </w:num>
  <w:num w:numId="4" w16cid:durableId="1229456158">
    <w:abstractNumId w:val="5"/>
  </w:num>
  <w:num w:numId="5" w16cid:durableId="1545368932">
    <w:abstractNumId w:val="9"/>
  </w:num>
  <w:num w:numId="6" w16cid:durableId="2146584621">
    <w:abstractNumId w:val="10"/>
  </w:num>
  <w:num w:numId="7" w16cid:durableId="1488016165">
    <w:abstractNumId w:val="11"/>
  </w:num>
  <w:num w:numId="8" w16cid:durableId="1540048891">
    <w:abstractNumId w:val="13"/>
  </w:num>
  <w:num w:numId="9" w16cid:durableId="1009140706">
    <w:abstractNumId w:val="16"/>
  </w:num>
  <w:num w:numId="10" w16cid:durableId="2114401175">
    <w:abstractNumId w:val="17"/>
  </w:num>
  <w:num w:numId="11" w16cid:durableId="493380921">
    <w:abstractNumId w:val="18"/>
  </w:num>
  <w:num w:numId="12" w16cid:durableId="2024163996">
    <w:abstractNumId w:val="19"/>
  </w:num>
  <w:num w:numId="13" w16cid:durableId="664240086">
    <w:abstractNumId w:val="22"/>
  </w:num>
  <w:num w:numId="14" w16cid:durableId="449671791">
    <w:abstractNumId w:val="24"/>
  </w:num>
  <w:num w:numId="15" w16cid:durableId="623848001">
    <w:abstractNumId w:val="23"/>
  </w:num>
  <w:num w:numId="16" w16cid:durableId="885332472">
    <w:abstractNumId w:val="12"/>
  </w:num>
  <w:num w:numId="17" w16cid:durableId="148789902">
    <w:abstractNumId w:val="6"/>
  </w:num>
  <w:num w:numId="18" w16cid:durableId="786509648">
    <w:abstractNumId w:val="4"/>
  </w:num>
  <w:num w:numId="19" w16cid:durableId="260188582">
    <w:abstractNumId w:val="8"/>
  </w:num>
  <w:num w:numId="20" w16cid:durableId="918714872">
    <w:abstractNumId w:val="7"/>
  </w:num>
  <w:num w:numId="21" w16cid:durableId="116031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552126">
    <w:abstractNumId w:val="21"/>
  </w:num>
  <w:num w:numId="23" w16cid:durableId="579565655">
    <w:abstractNumId w:val="0"/>
  </w:num>
  <w:num w:numId="24" w16cid:durableId="1958679947">
    <w:abstractNumId w:val="14"/>
  </w:num>
  <w:num w:numId="25" w16cid:durableId="2139447364">
    <w:abstractNumId w:val="15"/>
  </w:num>
  <w:num w:numId="26" w16cid:durableId="11005830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70696"/>
    <w:rsid w:val="00086DB7"/>
    <w:rsid w:val="000A1886"/>
    <w:rsid w:val="000C0F0E"/>
    <w:rsid w:val="000C44F1"/>
    <w:rsid w:val="000D2CE2"/>
    <w:rsid w:val="000D508F"/>
    <w:rsid w:val="000E0C0B"/>
    <w:rsid w:val="000E51D8"/>
    <w:rsid w:val="000E5D8D"/>
    <w:rsid w:val="000F0C95"/>
    <w:rsid w:val="0010510C"/>
    <w:rsid w:val="0011406D"/>
    <w:rsid w:val="00114439"/>
    <w:rsid w:val="00114AC3"/>
    <w:rsid w:val="001274E3"/>
    <w:rsid w:val="001355C9"/>
    <w:rsid w:val="001526AF"/>
    <w:rsid w:val="0019549D"/>
    <w:rsid w:val="001A62BE"/>
    <w:rsid w:val="001B10DE"/>
    <w:rsid w:val="001C4AD3"/>
    <w:rsid w:val="001C50F0"/>
    <w:rsid w:val="001C51C9"/>
    <w:rsid w:val="001C6929"/>
    <w:rsid w:val="001E45D1"/>
    <w:rsid w:val="001E7027"/>
    <w:rsid w:val="002011C5"/>
    <w:rsid w:val="00233813"/>
    <w:rsid w:val="0025672B"/>
    <w:rsid w:val="00257C5F"/>
    <w:rsid w:val="00275FAB"/>
    <w:rsid w:val="00280A79"/>
    <w:rsid w:val="00287591"/>
    <w:rsid w:val="00294578"/>
    <w:rsid w:val="002B1992"/>
    <w:rsid w:val="002B38AA"/>
    <w:rsid w:val="002B554C"/>
    <w:rsid w:val="002C2CF2"/>
    <w:rsid w:val="002D0502"/>
    <w:rsid w:val="002D48FC"/>
    <w:rsid w:val="002E1702"/>
    <w:rsid w:val="002E7AB7"/>
    <w:rsid w:val="002F4770"/>
    <w:rsid w:val="002F53D6"/>
    <w:rsid w:val="002F5B81"/>
    <w:rsid w:val="00300824"/>
    <w:rsid w:val="0030237F"/>
    <w:rsid w:val="00341764"/>
    <w:rsid w:val="00375E70"/>
    <w:rsid w:val="00383D95"/>
    <w:rsid w:val="003919AB"/>
    <w:rsid w:val="003B23DF"/>
    <w:rsid w:val="003C76AD"/>
    <w:rsid w:val="003D5AF9"/>
    <w:rsid w:val="003E5348"/>
    <w:rsid w:val="00412CEA"/>
    <w:rsid w:val="00415FF3"/>
    <w:rsid w:val="00424E66"/>
    <w:rsid w:val="004256D0"/>
    <w:rsid w:val="00451237"/>
    <w:rsid w:val="004518D4"/>
    <w:rsid w:val="00457CCC"/>
    <w:rsid w:val="00481F8B"/>
    <w:rsid w:val="004868AA"/>
    <w:rsid w:val="00487212"/>
    <w:rsid w:val="004A12BC"/>
    <w:rsid w:val="004B4857"/>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34174"/>
    <w:rsid w:val="00641A8D"/>
    <w:rsid w:val="00675806"/>
    <w:rsid w:val="00681DC3"/>
    <w:rsid w:val="006820F9"/>
    <w:rsid w:val="00683331"/>
    <w:rsid w:val="006B4F1F"/>
    <w:rsid w:val="006E6192"/>
    <w:rsid w:val="006F530B"/>
    <w:rsid w:val="007028D9"/>
    <w:rsid w:val="00721DCE"/>
    <w:rsid w:val="00722CAE"/>
    <w:rsid w:val="00723B8A"/>
    <w:rsid w:val="00724841"/>
    <w:rsid w:val="007921CF"/>
    <w:rsid w:val="007A19A2"/>
    <w:rsid w:val="007A2722"/>
    <w:rsid w:val="007A4F27"/>
    <w:rsid w:val="007B3E90"/>
    <w:rsid w:val="007B7E19"/>
    <w:rsid w:val="007E4EC8"/>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642AF"/>
    <w:rsid w:val="00974B47"/>
    <w:rsid w:val="00983E51"/>
    <w:rsid w:val="009955A1"/>
    <w:rsid w:val="009B34F6"/>
    <w:rsid w:val="009C2365"/>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04387"/>
    <w:rsid w:val="00B32060"/>
    <w:rsid w:val="00B34856"/>
    <w:rsid w:val="00B46121"/>
    <w:rsid w:val="00B568B8"/>
    <w:rsid w:val="00B63282"/>
    <w:rsid w:val="00B63822"/>
    <w:rsid w:val="00BB194C"/>
    <w:rsid w:val="00BC6517"/>
    <w:rsid w:val="00C47790"/>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80411"/>
    <w:rsid w:val="00DA09C4"/>
    <w:rsid w:val="00DA4BC5"/>
    <w:rsid w:val="00DC19AE"/>
    <w:rsid w:val="00DE2EB0"/>
    <w:rsid w:val="00DE4085"/>
    <w:rsid w:val="00E14596"/>
    <w:rsid w:val="00E218F2"/>
    <w:rsid w:val="00E35041"/>
    <w:rsid w:val="00E35F1E"/>
    <w:rsid w:val="00E65A1A"/>
    <w:rsid w:val="00E7458F"/>
    <w:rsid w:val="00EA6278"/>
    <w:rsid w:val="00EC3DCB"/>
    <w:rsid w:val="00EE4696"/>
    <w:rsid w:val="00F16A25"/>
    <w:rsid w:val="00F203CD"/>
    <w:rsid w:val="00F249C9"/>
    <w:rsid w:val="00F2556C"/>
    <w:rsid w:val="00F600F1"/>
    <w:rsid w:val="00F74399"/>
    <w:rsid w:val="00F77652"/>
    <w:rsid w:val="00F84FC2"/>
    <w:rsid w:val="00F921D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632B-5464-4AF8-B516-B6FFD989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5302</Words>
  <Characters>31286</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2025-08-04T08:17:00Z</dcterms:created>
  <dcterms:modified xsi:type="dcterms:W3CDTF">2025-08-04T15:46:00Z</dcterms:modified>
</cp:coreProperties>
</file>