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B27C5C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C5C">
        <w:rPr>
          <w:rFonts w:ascii="Times New Roman" w:hAnsi="Times New Roman" w:cs="Times New Roman"/>
          <w:b/>
          <w:sz w:val="24"/>
          <w:szCs w:val="24"/>
        </w:rPr>
        <w:t xml:space="preserve">Labe, Roudnice </w:t>
      </w:r>
      <w:proofErr w:type="spellStart"/>
      <w:proofErr w:type="gramStart"/>
      <w:r w:rsidRPr="00B27C5C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B27C5C">
        <w:rPr>
          <w:rFonts w:ascii="Times New Roman" w:hAnsi="Times New Roman" w:cs="Times New Roman"/>
          <w:b/>
          <w:sz w:val="24"/>
          <w:szCs w:val="24"/>
        </w:rPr>
        <w:t xml:space="preserve"> - Neratovice, ošetření a prořez dřevin, ř. km 810,960 - 847,430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10BE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B27C5C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22</cp:revision>
  <dcterms:created xsi:type="dcterms:W3CDTF">2022-03-22T08:40:00Z</dcterms:created>
  <dcterms:modified xsi:type="dcterms:W3CDTF">2025-09-16T11:09:00Z</dcterms:modified>
</cp:coreProperties>
</file>