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49F" w14:textId="77777777" w:rsidR="006577DC" w:rsidRPr="00217978" w:rsidRDefault="006577DC" w:rsidP="006577DC">
      <w:pPr>
        <w:spacing w:before="1320"/>
        <w:jc w:val="center"/>
        <w:rPr>
          <w:color w:val="000000" w:themeColor="text1"/>
          <w:sz w:val="68"/>
          <w:szCs w:val="68"/>
        </w:rPr>
      </w:pPr>
      <w:permStart w:id="1505515030" w:edGrp="everyone"/>
      <w:permEnd w:id="1505515030"/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C7EA0E3" w14:textId="77777777" w:rsidR="006577DC" w:rsidRPr="00217978" w:rsidRDefault="006577DC" w:rsidP="006577DC">
      <w:pPr>
        <w:pBdr>
          <w:bottom w:val="single" w:sz="4" w:space="1" w:color="auto"/>
        </w:pBdr>
        <w:rPr>
          <w:color w:val="000000" w:themeColor="text1"/>
        </w:rPr>
      </w:pPr>
    </w:p>
    <w:p w14:paraId="60EEF83C" w14:textId="77777777" w:rsidR="006577DC" w:rsidRPr="00217978" w:rsidRDefault="006577DC" w:rsidP="006577DC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4AB5F27C" w14:textId="6DA7D11A" w:rsidR="006577DC" w:rsidRPr="00090F67" w:rsidRDefault="002A653A" w:rsidP="006577DC">
      <w:pPr>
        <w:spacing w:before="240" w:after="24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40"/>
        </w:rPr>
        <w:t xml:space="preserve">Pojištění majetku a odpovědnosti pro rok </w:t>
      </w:r>
      <w:proofErr w:type="gramStart"/>
      <w:r>
        <w:rPr>
          <w:b/>
          <w:color w:val="000000" w:themeColor="text1"/>
          <w:sz w:val="36"/>
          <w:szCs w:val="40"/>
        </w:rPr>
        <w:t>2026 - 2030</w:t>
      </w:r>
      <w:proofErr w:type="gramEnd"/>
    </w:p>
    <w:p w14:paraId="41244CF9" w14:textId="77777777" w:rsidR="006577DC" w:rsidRPr="00217978" w:rsidRDefault="006577DC" w:rsidP="006577DC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>
        <w:rPr>
          <w:b/>
          <w:szCs w:val="20"/>
        </w:rPr>
        <w:t>dní hřebčín Kladruby nad Labem</w:t>
      </w:r>
    </w:p>
    <w:p w14:paraId="28A9C2B4" w14:textId="77777777" w:rsidR="006577DC" w:rsidRPr="00217978" w:rsidRDefault="006577DC" w:rsidP="006577DC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139F297E" w14:textId="77777777" w:rsidR="006577DC" w:rsidRPr="00217978" w:rsidRDefault="006577DC" w:rsidP="006577DC">
      <w:pPr>
        <w:spacing w:before="120"/>
        <w:jc w:val="center"/>
      </w:pPr>
      <w:r w:rsidRPr="00217978">
        <w:rPr>
          <w:szCs w:val="20"/>
        </w:rPr>
        <w:t>IČO: 72048972</w:t>
      </w:r>
    </w:p>
    <w:p w14:paraId="5C077FCB" w14:textId="77777777" w:rsidR="006577DC" w:rsidRPr="00217978" w:rsidRDefault="006577DC" w:rsidP="006577DC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6BE715B" w14:textId="515B9946" w:rsidR="00F82EBD" w:rsidRPr="00217978" w:rsidRDefault="006577DC" w:rsidP="006577DC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30F6508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0A3CDD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4CAA6CE9" w14:textId="12FF6E1B" w:rsidR="00F56341" w:rsidRDefault="002777F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214365733" w:history="1">
        <w:r w:rsidR="00F56341" w:rsidRPr="00D755C7">
          <w:rPr>
            <w:rStyle w:val="Hypertextovodkaz"/>
            <w:noProof/>
          </w:rPr>
          <w:t>1.</w:t>
        </w:r>
        <w:r w:rsidR="00F56341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F56341" w:rsidRPr="00D755C7">
          <w:rPr>
            <w:rStyle w:val="Hypertextovodkaz"/>
            <w:noProof/>
          </w:rPr>
          <w:t>Identifikační údaje zadavatele</w:t>
        </w:r>
        <w:r w:rsidR="00F56341">
          <w:rPr>
            <w:noProof/>
            <w:webHidden/>
          </w:rPr>
          <w:tab/>
        </w:r>
        <w:r w:rsidR="00F56341">
          <w:rPr>
            <w:noProof/>
            <w:webHidden/>
          </w:rPr>
          <w:fldChar w:fldCharType="begin"/>
        </w:r>
        <w:r w:rsidR="00F56341">
          <w:rPr>
            <w:noProof/>
            <w:webHidden/>
          </w:rPr>
          <w:instrText xml:space="preserve"> PAGEREF _Toc214365733 \h </w:instrText>
        </w:r>
        <w:r w:rsidR="00F56341">
          <w:rPr>
            <w:noProof/>
            <w:webHidden/>
          </w:rPr>
        </w:r>
        <w:r w:rsidR="00F56341"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3</w:t>
        </w:r>
        <w:r w:rsidR="00F56341">
          <w:rPr>
            <w:noProof/>
            <w:webHidden/>
          </w:rPr>
          <w:fldChar w:fldCharType="end"/>
        </w:r>
      </w:hyperlink>
    </w:p>
    <w:p w14:paraId="4120F40C" w14:textId="75253905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4" w:history="1">
        <w:r w:rsidRPr="00D755C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3F3C30" w14:textId="7262DA99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5" w:history="1">
        <w:r w:rsidRPr="00D755C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F4D063" w14:textId="3A5771FA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6" w:history="1">
        <w:r w:rsidRPr="00D755C7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EB1C5C" w14:textId="1CD2B711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7" w:history="1">
        <w:r w:rsidRPr="00D755C7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ABF0AE" w14:textId="6ED2C79F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8" w:history="1">
        <w:r w:rsidRPr="00D755C7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3D1568" w14:textId="06C3ED46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39" w:history="1">
        <w:r w:rsidRPr="00D755C7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Vysvětlení výzvy, změna nebo doplnění výzvy pro zadání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6B1A97" w14:textId="2CEEB66E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0" w:history="1">
        <w:r w:rsidRPr="00D755C7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E7C43C" w14:textId="18CCE43B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1" w:history="1">
        <w:r w:rsidRPr="00D755C7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60002D" w14:textId="001BE684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2" w:history="1">
        <w:r w:rsidRPr="00D755C7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F371AC" w14:textId="104379C0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3" w:history="1">
        <w:r w:rsidRPr="00D755C7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5CBD96" w14:textId="7EFB06C3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4" w:history="1">
        <w:r w:rsidRPr="00D755C7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E1DEC3" w14:textId="3EB43EEB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5" w:history="1">
        <w:r w:rsidRPr="00D755C7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2BAC50" w14:textId="2CA3CC91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6" w:history="1">
        <w:r w:rsidRPr="00D755C7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F7E7239" w14:textId="461652AD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7" w:history="1">
        <w:r w:rsidRPr="00D755C7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Otevírání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0F0C39B" w14:textId="6C9CDFFB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8" w:history="1">
        <w:r w:rsidRPr="00D755C7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8CF569" w14:textId="78F103D4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49" w:history="1">
        <w:r w:rsidRPr="00D755C7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DAFB0C2" w14:textId="40BB8582" w:rsidR="00F56341" w:rsidRDefault="00F56341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365750" w:history="1">
        <w:r w:rsidRPr="00D755C7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755C7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11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9964C0" w14:textId="181CE6BC" w:rsidR="00957D78" w:rsidRPr="00074AA3" w:rsidRDefault="002777F1" w:rsidP="00E3406F">
      <w:pPr>
        <w:sectPr w:rsidR="00957D78" w:rsidRPr="00074AA3" w:rsidSect="009B0142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6FBAE008" w14:textId="77777777" w:rsidR="00E948F1" w:rsidRDefault="00E7387D" w:rsidP="00957D78">
      <w:pPr>
        <w:pStyle w:val="Nadpis1"/>
      </w:pPr>
      <w:bookmarkStart w:id="0" w:name="_Toc214365733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FCC109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317B4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853540B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A37C13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2A4A46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2144D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3BD2E26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FD8F2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5569183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07AB0CF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445CE4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DAC57A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58781A0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81E1AA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5F1633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59E6941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28C8C9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4F9455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04D9B1E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DCD177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400B1963" w14:textId="4393785F" w:rsidR="00E7387D" w:rsidRPr="00217978" w:rsidRDefault="00F52C6A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E84739">
                <w:rPr>
                  <w:rStyle w:val="Hypertextovodkaz"/>
                  <w:szCs w:val="20"/>
                </w:rPr>
                <w:t>https://zakazky.eagri.cz/profile_display_1026.htm</w:t>
              </w:r>
              <w:r w:rsidR="00E84739" w:rsidRPr="00E84739">
                <w:rPr>
                  <w:rStyle w:val="Hypertextovodkaz"/>
                  <w:szCs w:val="20"/>
                </w:rPr>
                <w:t>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EDA1087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E8B8519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97DEC2B" w14:textId="21EFA78F" w:rsidR="00E7387D" w:rsidRPr="00217978" w:rsidRDefault="005C6833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="007B25B2" w:rsidRPr="006A6942">
                <w:rPr>
                  <w:rStyle w:val="Hypertextovodkaz"/>
                  <w:szCs w:val="20"/>
                </w:rPr>
                <w:t>johnova@nhkladruby.cz</w:t>
              </w:r>
            </w:hyperlink>
            <w:r w:rsidR="007B25B2">
              <w:rPr>
                <w:szCs w:val="20"/>
              </w:rPr>
              <w:t xml:space="preserve"> </w:t>
            </w:r>
          </w:p>
        </w:tc>
      </w:tr>
    </w:tbl>
    <w:p w14:paraId="7EB8DBE3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75206B6C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4D8934C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3977997" w14:textId="6A9BAB65" w:rsidR="007F54DC" w:rsidRPr="00B92910" w:rsidRDefault="002A653A" w:rsidP="00540115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Pojištění majetku a odpovědnosti pro rok </w:t>
            </w:r>
            <w:proofErr w:type="gramStart"/>
            <w:r>
              <w:rPr>
                <w:b/>
                <w:szCs w:val="20"/>
              </w:rPr>
              <w:t>2026 - 2030</w:t>
            </w:r>
            <w:proofErr w:type="gramEnd"/>
          </w:p>
        </w:tc>
      </w:tr>
      <w:tr w:rsidR="007F54DC" w:rsidRPr="00217978" w14:paraId="22CD7E7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C5F8B4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00E315F1" w14:textId="77777777" w:rsidR="007F54DC" w:rsidRPr="00217978" w:rsidRDefault="007F54DC" w:rsidP="00833281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833281">
              <w:rPr>
                <w:szCs w:val="20"/>
              </w:rPr>
              <w:t>služby</w:t>
            </w:r>
          </w:p>
        </w:tc>
      </w:tr>
      <w:tr w:rsidR="007F54DC" w:rsidRPr="00217978" w14:paraId="7A402B9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07972C0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0E33F4BA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5ABA9FAE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0AD4CCD2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20C2581A" w14:textId="77777777" w:rsidR="007F54DC" w:rsidRPr="00217978" w:rsidRDefault="008A2ABF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69482827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8CC5EE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7920EA1" w14:textId="579583BE" w:rsidR="0067037B" w:rsidRDefault="002A653A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B369A">
              <w:rPr>
                <w:szCs w:val="20"/>
              </w:rPr>
              <w:t>8</w:t>
            </w:r>
            <w:r w:rsidR="001142D3">
              <w:rPr>
                <w:szCs w:val="20"/>
              </w:rPr>
              <w:t>/202</w:t>
            </w:r>
            <w:r w:rsidR="003B369A">
              <w:rPr>
                <w:szCs w:val="20"/>
              </w:rPr>
              <w:t>5</w:t>
            </w:r>
          </w:p>
        </w:tc>
      </w:tr>
    </w:tbl>
    <w:p w14:paraId="10394F11" w14:textId="77777777" w:rsidR="00F514FD" w:rsidRDefault="00D21F0C" w:rsidP="00957D78">
      <w:pPr>
        <w:pStyle w:val="Nadpis1"/>
      </w:pPr>
      <w:bookmarkStart w:id="1" w:name="_Toc214365734"/>
      <w:r>
        <w:t>Úvodní ustanovení</w:t>
      </w:r>
      <w:bookmarkEnd w:id="1"/>
    </w:p>
    <w:p w14:paraId="019AEC10" w14:textId="70FEBAC3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5E0CFA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D828DA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F5ECDB9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6306F69E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1D2FEA86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244CDAD" w14:textId="2A08DCEF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Veškeré požadavky na technické podmínky jsou vymezeny ve výzvě</w:t>
      </w:r>
      <w:r w:rsidR="006728C3">
        <w:rPr>
          <w:szCs w:val="20"/>
        </w:rPr>
        <w:t xml:space="preserve"> a</w:t>
      </w:r>
      <w:r w:rsidRPr="003D208B">
        <w:rPr>
          <w:szCs w:val="20"/>
        </w:rPr>
        <w:t xml:space="preserve"> </w:t>
      </w:r>
      <w:r w:rsidR="00674256">
        <w:rPr>
          <w:szCs w:val="20"/>
        </w:rPr>
        <w:t xml:space="preserve">v </w:t>
      </w:r>
      <w:r w:rsidR="006728C3">
        <w:rPr>
          <w:szCs w:val="20"/>
        </w:rPr>
        <w:t>jejich</w:t>
      </w:r>
      <w:r w:rsidRPr="003D208B">
        <w:rPr>
          <w:szCs w:val="20"/>
        </w:rPr>
        <w:t xml:space="preserve"> příloh</w:t>
      </w:r>
      <w:r w:rsidR="00674256">
        <w:rPr>
          <w:szCs w:val="20"/>
        </w:rPr>
        <w:t>ách</w:t>
      </w:r>
      <w:r w:rsidRPr="003D208B">
        <w:rPr>
          <w:szCs w:val="20"/>
        </w:rPr>
        <w:t xml:space="preserve">, </w:t>
      </w:r>
      <w:r w:rsidR="00806895">
        <w:rPr>
          <w:szCs w:val="20"/>
        </w:rPr>
        <w:t xml:space="preserve">zejména </w:t>
      </w:r>
      <w:r w:rsidRPr="003D208B">
        <w:rPr>
          <w:szCs w:val="20"/>
        </w:rPr>
        <w:t>viz Příloh</w:t>
      </w:r>
      <w:r w:rsidR="00806895">
        <w:rPr>
          <w:szCs w:val="20"/>
        </w:rPr>
        <w:t>y</w:t>
      </w:r>
      <w:r w:rsidRPr="003D208B">
        <w:rPr>
          <w:szCs w:val="20"/>
        </w:rPr>
        <w:t xml:space="preserve"> č. 2</w:t>
      </w:r>
      <w:r w:rsidR="00806895">
        <w:rPr>
          <w:szCs w:val="20"/>
        </w:rPr>
        <w:t xml:space="preserve"> a č. 4</w:t>
      </w:r>
      <w:r w:rsidRPr="003D208B">
        <w:rPr>
          <w:szCs w:val="20"/>
        </w:rPr>
        <w:t>.</w:t>
      </w:r>
    </w:p>
    <w:p w14:paraId="34934C20" w14:textId="616CAAA5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</w:t>
      </w:r>
      <w:r w:rsidR="00674256">
        <w:rPr>
          <w:szCs w:val="20"/>
        </w:rPr>
        <w:t>8</w:t>
      </w:r>
      <w:r w:rsidRPr="003D208B">
        <w:rPr>
          <w:szCs w:val="20"/>
        </w:rPr>
        <w:t>.</w:t>
      </w:r>
    </w:p>
    <w:p w14:paraId="11DC3F25" w14:textId="6F2FA4A6" w:rsidR="006577DC" w:rsidRDefault="006577DC" w:rsidP="00EC7067">
      <w:pPr>
        <w:spacing w:before="150" w:after="225"/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</w:t>
      </w:r>
      <w:r w:rsidRPr="00EC7067">
        <w:rPr>
          <w:szCs w:val="20"/>
        </w:rPr>
        <w:t>adrese: </w:t>
      </w:r>
      <w:r w:rsidR="00850A51" w:rsidRPr="00850A51">
        <w:rPr>
          <w:szCs w:val="20"/>
        </w:rPr>
        <w:t>https://zakazky.eagri.cz/vz00021176</w:t>
      </w:r>
      <w:r w:rsidRPr="00EC7067">
        <w:rPr>
          <w:szCs w:val="20"/>
        </w:rPr>
        <w:t>.</w:t>
      </w:r>
    </w:p>
    <w:p w14:paraId="496F27E9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lastRenderedPageBreak/>
        <w:t>Podáním nabídky do tohoto výběrového řízení účastník přijímá a akceptuje plně a bez výhrad podmínky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včetně případných změn nebo doplnění výzvy. Zadavatel předpokládá, že účastník před podáním nabídky pečlivě prostuduje všechny pokyny, specifikace a termíny obsažené v</w:t>
      </w:r>
      <w:r>
        <w:rPr>
          <w:szCs w:val="20"/>
        </w:rPr>
        <w:t> </w:t>
      </w:r>
      <w:r w:rsidRPr="003D208B">
        <w:rPr>
          <w:szCs w:val="20"/>
        </w:rPr>
        <w:t>podmínkách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 bude se jimi řídit.</w:t>
      </w:r>
    </w:p>
    <w:p w14:paraId="485AFBB2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 jakékoliv nejasnosti, připomínky či dotazy, které jim v souvislosti s podmínkami </w:t>
      </w:r>
      <w:r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576C4A3" w14:textId="77777777" w:rsidR="004564D3" w:rsidRDefault="006577DC" w:rsidP="006577DC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>
        <w:rPr>
          <w:szCs w:val="20"/>
        </w:rPr>
        <w:t> </w:t>
      </w:r>
      <w:r w:rsidRPr="003D208B">
        <w:rPr>
          <w:szCs w:val="20"/>
        </w:rPr>
        <w:t>podmínkám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7FAE06FC" w14:textId="72A14F5B" w:rsidR="002A653A" w:rsidRDefault="002A653A" w:rsidP="006577DC">
      <w:pPr>
        <w:rPr>
          <w:szCs w:val="20"/>
        </w:rPr>
      </w:pPr>
      <w:r w:rsidRPr="00AB4626">
        <w:rPr>
          <w:szCs w:val="20"/>
        </w:rPr>
        <w:t xml:space="preserve">Zadavatel uvádí, že </w:t>
      </w:r>
      <w:r w:rsidR="000A4C32">
        <w:rPr>
          <w:szCs w:val="20"/>
        </w:rPr>
        <w:t>P</w:t>
      </w:r>
      <w:r w:rsidRPr="00AB4626">
        <w:rPr>
          <w:szCs w:val="20"/>
        </w:rPr>
        <w:t>říloh</w:t>
      </w:r>
      <w:r w:rsidR="000A4C32">
        <w:rPr>
          <w:szCs w:val="20"/>
        </w:rPr>
        <w:t>y</w:t>
      </w:r>
      <w:r w:rsidRPr="00AB4626">
        <w:rPr>
          <w:szCs w:val="20"/>
        </w:rPr>
        <w:t xml:space="preserve"> č. </w:t>
      </w:r>
      <w:r w:rsidRPr="000A4C32">
        <w:rPr>
          <w:szCs w:val="20"/>
        </w:rPr>
        <w:t xml:space="preserve">2 a </w:t>
      </w:r>
      <w:r w:rsidR="000A4C32" w:rsidRPr="000A4C32">
        <w:rPr>
          <w:szCs w:val="20"/>
        </w:rPr>
        <w:t xml:space="preserve">č. </w:t>
      </w:r>
      <w:r w:rsidR="00F56341" w:rsidRPr="000A4C32">
        <w:rPr>
          <w:szCs w:val="20"/>
        </w:rPr>
        <w:t>4</w:t>
      </w:r>
      <w:r w:rsidRPr="00AB4626">
        <w:rPr>
          <w:szCs w:val="20"/>
        </w:rPr>
        <w:t xml:space="preserve"> zpracoval</w:t>
      </w:r>
      <w:r w:rsidR="000A4C32">
        <w:rPr>
          <w:szCs w:val="20"/>
        </w:rPr>
        <w:t>a</w:t>
      </w:r>
      <w:r w:rsidRPr="00AB4626">
        <w:rPr>
          <w:szCs w:val="20"/>
        </w:rPr>
        <w:t xml:space="preserve"> dle pokynů zadavatele </w:t>
      </w:r>
      <w:r w:rsidR="000A4C32">
        <w:rPr>
          <w:szCs w:val="20"/>
        </w:rPr>
        <w:t>společnost</w:t>
      </w:r>
      <w:r w:rsidR="000A4C32">
        <w:rPr>
          <w:szCs w:val="20"/>
        </w:rPr>
        <w:br/>
      </w:r>
      <w:r w:rsidRPr="00AB4626">
        <w:rPr>
          <w:szCs w:val="20"/>
        </w:rPr>
        <w:t>C.E.B., a.</w:t>
      </w:r>
      <w:r>
        <w:rPr>
          <w:szCs w:val="20"/>
        </w:rPr>
        <w:t> </w:t>
      </w:r>
      <w:r w:rsidRPr="00AB4626">
        <w:rPr>
          <w:szCs w:val="20"/>
        </w:rPr>
        <w:t>s.,</w:t>
      </w:r>
      <w:r w:rsidR="000A4C32">
        <w:rPr>
          <w:szCs w:val="20"/>
        </w:rPr>
        <w:t xml:space="preserve"> </w:t>
      </w:r>
      <w:r w:rsidRPr="00AB4626">
        <w:rPr>
          <w:szCs w:val="20"/>
        </w:rPr>
        <w:t>IČ: 27429741, Lublaňská 57/5, 120 00 Praha 2.</w:t>
      </w:r>
    </w:p>
    <w:p w14:paraId="18628D6A" w14:textId="77777777" w:rsidR="00852AB3" w:rsidRDefault="00852AB3" w:rsidP="00957D78">
      <w:pPr>
        <w:pStyle w:val="Nadpis1"/>
      </w:pPr>
      <w:bookmarkStart w:id="2" w:name="_Toc214365735"/>
      <w:r>
        <w:t>Vymezení druhu a předmětu veřejné zakázky malého rozsahu</w:t>
      </w:r>
      <w:bookmarkEnd w:id="2"/>
    </w:p>
    <w:p w14:paraId="38EB8488" w14:textId="20C5472F" w:rsidR="00494DC9" w:rsidRDefault="0072442C" w:rsidP="002A653A">
      <w:pPr>
        <w:pStyle w:val="Nadpis2"/>
      </w:pPr>
      <w:r>
        <w:t>Předmět plnění veřejné zakázky</w:t>
      </w:r>
      <w:r w:rsidR="002A653A">
        <w:t xml:space="preserve"> (</w:t>
      </w:r>
      <w:r w:rsidR="00494DC9">
        <w:t>Specifikace předmětu plnění</w:t>
      </w:r>
      <w:r w:rsidR="002A653A">
        <w:t>)</w:t>
      </w:r>
    </w:p>
    <w:p w14:paraId="42992A79" w14:textId="77777777" w:rsidR="002A653A" w:rsidRPr="00AB4626" w:rsidRDefault="002A653A" w:rsidP="002A653A">
      <w:pPr>
        <w:widowControl w:val="0"/>
        <w:autoSpaceDE w:val="0"/>
        <w:autoSpaceDN w:val="0"/>
        <w:adjustRightInd w:val="0"/>
        <w:rPr>
          <w:rFonts w:cs="Arial Narrow"/>
          <w:szCs w:val="20"/>
        </w:rPr>
      </w:pPr>
      <w:r w:rsidRPr="00AB4626">
        <w:rPr>
          <w:rFonts w:cs="Arial Narrow"/>
          <w:szCs w:val="20"/>
        </w:rPr>
        <w:t>Předmětem veřejné zakázky je pojištění:</w:t>
      </w:r>
    </w:p>
    <w:p w14:paraId="08FF334F" w14:textId="77777777" w:rsidR="002A653A" w:rsidRPr="00AB4626" w:rsidRDefault="002A653A" w:rsidP="002A653A">
      <w:pPr>
        <w:pStyle w:val="Odstavecseseznamem"/>
        <w:numPr>
          <w:ilvl w:val="0"/>
          <w:numId w:val="39"/>
        </w:numPr>
        <w:spacing w:after="60"/>
        <w:ind w:left="567" w:hanging="283"/>
        <w:contextualSpacing w:val="0"/>
        <w:rPr>
          <w:sz w:val="22"/>
        </w:rPr>
      </w:pPr>
      <w:r w:rsidRPr="00AB4626">
        <w:rPr>
          <w:rFonts w:cs="Arial"/>
        </w:rPr>
        <w:t>majetku</w:t>
      </w:r>
    </w:p>
    <w:p w14:paraId="41601EE3" w14:textId="77777777" w:rsidR="002A653A" w:rsidRPr="00AB4626" w:rsidRDefault="002A653A" w:rsidP="002A653A">
      <w:pPr>
        <w:pStyle w:val="Odstavecseseznamem"/>
        <w:numPr>
          <w:ilvl w:val="0"/>
          <w:numId w:val="40"/>
        </w:numPr>
        <w:spacing w:after="60"/>
        <w:ind w:left="993" w:hanging="284"/>
        <w:contextualSpacing w:val="0"/>
        <w:rPr>
          <w:sz w:val="22"/>
        </w:rPr>
      </w:pPr>
      <w:r w:rsidRPr="00AB4626">
        <w:rPr>
          <w:rFonts w:cs="Arial"/>
        </w:rPr>
        <w:t>movitých předmětů, tzn. věcí, které lze přenést z místa na místo bez porušení jejich podstaty,</w:t>
      </w:r>
    </w:p>
    <w:p w14:paraId="1F8DC55B" w14:textId="77777777" w:rsidR="002A653A" w:rsidRPr="00AB4626" w:rsidRDefault="002A653A" w:rsidP="002A653A">
      <w:pPr>
        <w:pStyle w:val="Odstavecseseznamem"/>
        <w:numPr>
          <w:ilvl w:val="0"/>
          <w:numId w:val="40"/>
        </w:numPr>
        <w:spacing w:after="60"/>
        <w:ind w:left="993" w:hanging="284"/>
        <w:contextualSpacing w:val="0"/>
        <w:rPr>
          <w:sz w:val="22"/>
        </w:rPr>
      </w:pPr>
      <w:r w:rsidRPr="00AB4626">
        <w:rPr>
          <w:rFonts w:cs="Arial"/>
        </w:rPr>
        <w:t>nemovitých objektů, tzn. budov a staveb včetně stavebních úprav, součástí a příslušenství, zábranných systémů a</w:t>
      </w:r>
    </w:p>
    <w:p w14:paraId="1CD8F433" w14:textId="7EDB4155" w:rsidR="002A653A" w:rsidRPr="00AB4626" w:rsidRDefault="002A653A" w:rsidP="002A653A">
      <w:pPr>
        <w:pStyle w:val="Odstavecseseznamem"/>
        <w:numPr>
          <w:ilvl w:val="0"/>
          <w:numId w:val="40"/>
        </w:numPr>
        <w:ind w:left="993" w:hanging="284"/>
        <w:contextualSpacing w:val="0"/>
      </w:pPr>
      <w:r w:rsidRPr="00AB4626">
        <w:t>na rizika živelní, odcizení, vandalismu, pojištění skla, strojní rizika,</w:t>
      </w:r>
      <w:r w:rsidR="00F752C2">
        <w:t xml:space="preserve"> pojištění přepravy,</w:t>
      </w:r>
      <w:r w:rsidRPr="00AB4626">
        <w:t xml:space="preserve"> zemědělské pojištění</w:t>
      </w:r>
    </w:p>
    <w:p w14:paraId="4A1D0E96" w14:textId="77777777" w:rsidR="002A653A" w:rsidRPr="00AB4626" w:rsidRDefault="002A653A" w:rsidP="002A653A">
      <w:pPr>
        <w:pStyle w:val="Odstavecseseznamem"/>
        <w:numPr>
          <w:ilvl w:val="0"/>
          <w:numId w:val="39"/>
        </w:numPr>
        <w:spacing w:after="60"/>
        <w:ind w:left="567" w:hanging="283"/>
        <w:contextualSpacing w:val="0"/>
      </w:pPr>
      <w:r w:rsidRPr="00AB4626">
        <w:t>odpovědnosti</w:t>
      </w:r>
    </w:p>
    <w:p w14:paraId="57C563F6" w14:textId="77777777" w:rsidR="002A653A" w:rsidRPr="00AB4626" w:rsidRDefault="002A653A" w:rsidP="002A653A">
      <w:pPr>
        <w:pStyle w:val="Odstavecseseznamem"/>
        <w:numPr>
          <w:ilvl w:val="0"/>
          <w:numId w:val="40"/>
        </w:numPr>
        <w:ind w:left="993" w:hanging="284"/>
        <w:contextualSpacing w:val="0"/>
      </w:pPr>
      <w:r w:rsidRPr="00AB4626">
        <w:t>obecné odpovědnosti včetně připojištění</w:t>
      </w:r>
    </w:p>
    <w:p w14:paraId="4A98BB8B" w14:textId="42EA0700" w:rsidR="002A653A" w:rsidRPr="00AB4626" w:rsidRDefault="002A653A" w:rsidP="002A653A">
      <w:pPr>
        <w:spacing w:after="0"/>
        <w:ind w:left="284"/>
      </w:pPr>
      <w:r w:rsidRPr="00AB4626">
        <w:rPr>
          <w:b/>
        </w:rPr>
        <w:t>vše podrobně specifikováno v </w:t>
      </w:r>
      <w:r w:rsidRPr="00F752C2">
        <w:rPr>
          <w:b/>
        </w:rPr>
        <w:t>Přílo</w:t>
      </w:r>
      <w:r w:rsidR="00F752C2" w:rsidRPr="00F752C2">
        <w:rPr>
          <w:b/>
        </w:rPr>
        <w:t>hách</w:t>
      </w:r>
      <w:r w:rsidRPr="00F752C2">
        <w:rPr>
          <w:b/>
        </w:rPr>
        <w:t xml:space="preserve"> č. 2 a </w:t>
      </w:r>
      <w:r w:rsidR="00F752C2" w:rsidRPr="00F752C2">
        <w:rPr>
          <w:b/>
        </w:rPr>
        <w:t xml:space="preserve">č. </w:t>
      </w:r>
      <w:r w:rsidR="00F650F5" w:rsidRPr="00F752C2">
        <w:rPr>
          <w:b/>
        </w:rPr>
        <w:t>4</w:t>
      </w:r>
      <w:r w:rsidRPr="00F752C2">
        <w:rPr>
          <w:b/>
        </w:rPr>
        <w:t xml:space="preserve"> </w:t>
      </w:r>
      <w:r w:rsidR="00F752C2" w:rsidRPr="00F752C2">
        <w:rPr>
          <w:b/>
        </w:rPr>
        <w:t>této</w:t>
      </w:r>
      <w:r w:rsidR="00F752C2">
        <w:rPr>
          <w:b/>
        </w:rPr>
        <w:t xml:space="preserve"> výzvy</w:t>
      </w:r>
      <w:r w:rsidRPr="00AB4626">
        <w:t>.</w:t>
      </w:r>
    </w:p>
    <w:p w14:paraId="605FA1E7" w14:textId="77777777" w:rsidR="002A653A" w:rsidRPr="00AB4626" w:rsidRDefault="002A653A" w:rsidP="002A653A">
      <w:pPr>
        <w:widowControl w:val="0"/>
        <w:autoSpaceDE w:val="0"/>
        <w:autoSpaceDN w:val="0"/>
        <w:adjustRightInd w:val="0"/>
        <w:spacing w:before="240"/>
        <w:rPr>
          <w:rFonts w:cs="Arial Narrow"/>
          <w:szCs w:val="20"/>
        </w:rPr>
      </w:pPr>
      <w:r w:rsidRPr="00AB4626">
        <w:rPr>
          <w:rFonts w:cs="Arial Narrow"/>
          <w:szCs w:val="20"/>
        </w:rPr>
        <w:t>Pojistníkem bude Národní hřebčín Kladruby nad Labem.</w:t>
      </w:r>
    </w:p>
    <w:p w14:paraId="651739D0" w14:textId="5B7497C2" w:rsidR="006D7DD0" w:rsidRPr="00DF326B" w:rsidRDefault="002A653A" w:rsidP="002A653A">
      <w:r w:rsidRPr="00AB4626">
        <w:rPr>
          <w:rFonts w:cs="Arial Narrow"/>
          <w:szCs w:val="20"/>
        </w:rPr>
        <w:t xml:space="preserve">Zadání veřejné zakázky vychází z údajů o rozsahu pojištěného majetku aktuálních ke dni vyhlášení </w:t>
      </w:r>
      <w:r w:rsidR="00DC3B9B">
        <w:rPr>
          <w:rFonts w:cs="Arial Narrow"/>
          <w:szCs w:val="20"/>
        </w:rPr>
        <w:t>výběrového</w:t>
      </w:r>
      <w:r w:rsidRPr="00AB4626">
        <w:rPr>
          <w:rFonts w:cs="Arial Narrow"/>
          <w:szCs w:val="20"/>
        </w:rPr>
        <w:t xml:space="preserve"> řízení s tím, že rozsah pojištění se může k datu uzavření pojistné smlouvy změnit v souladu s aktuálním stavem.</w:t>
      </w:r>
    </w:p>
    <w:p w14:paraId="1AA04AA4" w14:textId="77777777" w:rsidR="0072442C" w:rsidRDefault="0072442C" w:rsidP="002A653A">
      <w:pPr>
        <w:pStyle w:val="Nadpis2"/>
      </w:pPr>
      <w:r w:rsidRPr="00671354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2A653A" w:rsidRPr="003D208B" w14:paraId="68A6DD40" w14:textId="77777777" w:rsidTr="004072EB">
        <w:trPr>
          <w:trHeight w:val="510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B1A34A" w14:textId="77777777" w:rsidR="002A653A" w:rsidRPr="003D208B" w:rsidRDefault="002A653A" w:rsidP="004072EB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D22374" w14:textId="77777777" w:rsidR="002A653A" w:rsidRPr="003D208B" w:rsidRDefault="002A653A" w:rsidP="004072EB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2A653A" w:rsidRPr="003D208B" w14:paraId="1BB237B4" w14:textId="77777777" w:rsidTr="004072EB">
        <w:trPr>
          <w:trHeight w:val="454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82BE5C" w14:textId="77777777" w:rsidR="002A653A" w:rsidRPr="009C0171" w:rsidRDefault="002A653A" w:rsidP="004072EB">
            <w:pPr>
              <w:spacing w:before="60" w:after="60"/>
              <w:jc w:val="left"/>
            </w:pPr>
            <w:r w:rsidRPr="00D640E9">
              <w:t>Pojištění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CDAEA9" w14:textId="77777777" w:rsidR="002A653A" w:rsidRPr="009C0171" w:rsidRDefault="002A653A" w:rsidP="004072EB">
            <w:pPr>
              <w:keepNext/>
              <w:spacing w:before="60" w:after="60"/>
              <w:jc w:val="left"/>
            </w:pPr>
            <w:r>
              <w:t>66510000-8</w:t>
            </w:r>
          </w:p>
        </w:tc>
      </w:tr>
      <w:tr w:rsidR="002A653A" w:rsidRPr="003D208B" w14:paraId="5C7205F7" w14:textId="77777777" w:rsidTr="004072EB">
        <w:trPr>
          <w:trHeight w:val="454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FB19C" w14:textId="77777777" w:rsidR="002A653A" w:rsidRPr="00D640E9" w:rsidRDefault="002A653A" w:rsidP="004072EB">
            <w:pPr>
              <w:spacing w:before="60" w:after="60"/>
              <w:jc w:val="left"/>
            </w:pPr>
            <w:r>
              <w:t>Pojištění majetku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7082" w14:textId="77777777" w:rsidR="002A653A" w:rsidRDefault="002A653A" w:rsidP="004072EB">
            <w:pPr>
              <w:keepNext/>
              <w:spacing w:before="60" w:after="60"/>
              <w:jc w:val="left"/>
            </w:pPr>
            <w:r>
              <w:t>66515200-5</w:t>
            </w:r>
          </w:p>
        </w:tc>
      </w:tr>
      <w:tr w:rsidR="002A653A" w:rsidRPr="003D208B" w14:paraId="58F35F5D" w14:textId="77777777" w:rsidTr="004072EB">
        <w:trPr>
          <w:trHeight w:val="454"/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D5BAD4C" w14:textId="77777777" w:rsidR="002A653A" w:rsidRPr="00D640E9" w:rsidRDefault="002A653A" w:rsidP="004072EB">
            <w:pPr>
              <w:spacing w:before="60" w:after="60"/>
              <w:jc w:val="left"/>
            </w:pPr>
            <w:r>
              <w:t>Pojištění odpovědnosti za škodu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1140AE8" w14:textId="77777777" w:rsidR="002A653A" w:rsidRDefault="002A653A" w:rsidP="004072EB">
            <w:pPr>
              <w:keepNext/>
              <w:spacing w:before="60" w:after="60"/>
              <w:jc w:val="left"/>
            </w:pPr>
            <w:r>
              <w:t>66516000-0</w:t>
            </w:r>
          </w:p>
        </w:tc>
      </w:tr>
    </w:tbl>
    <w:p w14:paraId="1832C901" w14:textId="77777777" w:rsidR="002A653A" w:rsidRDefault="002A653A" w:rsidP="002A653A">
      <w:pPr>
        <w:pStyle w:val="Nadpis2"/>
      </w:pPr>
      <w:r>
        <w:lastRenderedPageBreak/>
        <w:t>Předpokládaná hodnota veřejné zakázky</w:t>
      </w:r>
    </w:p>
    <w:p w14:paraId="6F55EB46" w14:textId="29CAC26E" w:rsidR="002A653A" w:rsidRPr="001C536B" w:rsidRDefault="002A653A" w:rsidP="002A653A">
      <w:r w:rsidRPr="003D208B">
        <w:rPr>
          <w:szCs w:val="20"/>
        </w:rPr>
        <w:t xml:space="preserve">Zadavatel v souladu s § 16 a násl. ZZVZ stanovil předpokládanou hodnotu této veřejné zakázky na částku ve výši </w:t>
      </w:r>
      <w:r>
        <w:rPr>
          <w:b/>
          <w:bCs/>
        </w:rPr>
        <w:t>625 000,00</w:t>
      </w:r>
      <w:r>
        <w:rPr>
          <w:b/>
          <w:szCs w:val="20"/>
        </w:rPr>
        <w:t xml:space="preserve"> Kč ročně, tj. 2 500 000,00 Kč za 4 roky trvání smlouvy</w:t>
      </w:r>
      <w:r w:rsidRPr="003D208B">
        <w:rPr>
          <w:szCs w:val="20"/>
        </w:rPr>
        <w:t>.</w:t>
      </w:r>
    </w:p>
    <w:p w14:paraId="2609342D" w14:textId="77777777" w:rsidR="002A653A" w:rsidRPr="002A653A" w:rsidRDefault="002A653A" w:rsidP="002A653A"/>
    <w:p w14:paraId="1D28BBEB" w14:textId="77777777" w:rsidR="0072442C" w:rsidRPr="00671354" w:rsidRDefault="0072442C" w:rsidP="00957D78">
      <w:pPr>
        <w:pStyle w:val="Nadpis1"/>
      </w:pPr>
      <w:bookmarkStart w:id="3" w:name="_Toc214365736"/>
      <w:r w:rsidRPr="00671354">
        <w:t>Doba a místo plnění předmětu veřejné zakázky</w:t>
      </w:r>
      <w:bookmarkEnd w:id="3"/>
    </w:p>
    <w:p w14:paraId="3EBDD9EC" w14:textId="77777777" w:rsidR="00951847" w:rsidRDefault="00DE3C95" w:rsidP="002A653A">
      <w:pPr>
        <w:pStyle w:val="Nadpis2"/>
      </w:pPr>
      <w:r w:rsidRPr="00671354">
        <w:t>Doba plnění veřejné zakázky</w:t>
      </w:r>
    </w:p>
    <w:p w14:paraId="4383218E" w14:textId="652BA56A" w:rsidR="002A653A" w:rsidRPr="00AB4626" w:rsidRDefault="002A653A" w:rsidP="002A653A">
      <w:r w:rsidRPr="00AB4626">
        <w:t xml:space="preserve">Předpokládané zahájení plnění veřejné zakázky / počátek pojistné doby: </w:t>
      </w:r>
      <w:r w:rsidRPr="00EE119B">
        <w:rPr>
          <w:b/>
          <w:bCs/>
        </w:rPr>
        <w:t>ne dříve než 1. </w:t>
      </w:r>
      <w:r w:rsidR="00B70F3C">
        <w:rPr>
          <w:b/>
          <w:bCs/>
        </w:rPr>
        <w:t>6</w:t>
      </w:r>
      <w:r w:rsidRPr="00EE119B">
        <w:rPr>
          <w:b/>
          <w:bCs/>
        </w:rPr>
        <w:t>. 202</w:t>
      </w:r>
      <w:r w:rsidR="00973E73" w:rsidRPr="00EE119B">
        <w:rPr>
          <w:b/>
          <w:bCs/>
        </w:rPr>
        <w:t>6</w:t>
      </w:r>
      <w:r w:rsidR="00F614B0">
        <w:rPr>
          <w:b/>
          <w:bCs/>
        </w:rPr>
        <w:t>.</w:t>
      </w:r>
    </w:p>
    <w:p w14:paraId="18AB1CDB" w14:textId="05428FDA" w:rsidR="002A653A" w:rsidRPr="00AB4626" w:rsidRDefault="002A653A" w:rsidP="002A653A">
      <w:r w:rsidRPr="00AB4626">
        <w:t xml:space="preserve">Pojistná smlouva bude uzavřena na </w:t>
      </w:r>
      <w:r w:rsidRPr="00F73E08">
        <w:rPr>
          <w:b/>
          <w:bCs/>
          <w:u w:val="single"/>
        </w:rPr>
        <w:t>pojistnou dobu 4 let od okamžiku účinnosti smlouvy</w:t>
      </w:r>
      <w:r w:rsidRPr="00AB4626">
        <w:t xml:space="preserve"> s právem výpovědi s dvanáctiměsíční výpovědní dobou bez uvedení důvodu. Po</w:t>
      </w:r>
      <w:r w:rsidR="00F73E08">
        <w:t> </w:t>
      </w:r>
      <w:r w:rsidRPr="00AB4626">
        <w:t>uplynutí pojistné doby 4 let se smlouva změní na dobu neurčitou s právem výpovědi s tříměsíční výpovědní dobou bez uvedení důvodu.</w:t>
      </w:r>
    </w:p>
    <w:p w14:paraId="0FB4A65F" w14:textId="45E450B5" w:rsidR="00C37371" w:rsidRPr="002A653A" w:rsidRDefault="002A653A" w:rsidP="002A653A">
      <w:pPr>
        <w:pStyle w:val="OdstavecSmlouvy"/>
        <w:keepLines w:val="0"/>
        <w:spacing w:after="60"/>
        <w:rPr>
          <w:rFonts w:cs="Arial"/>
          <w:b/>
          <w:bCs/>
        </w:rPr>
      </w:pPr>
      <w:r w:rsidRPr="00AB4626">
        <w:t xml:space="preserve">Zahájení plnění veřejné zakázky je podmíněno ukončením </w:t>
      </w:r>
      <w:r>
        <w:t>výběrového</w:t>
      </w:r>
      <w:r w:rsidRPr="00AB4626">
        <w:t xml:space="preserve"> řízení, ukončením stávající pojistné smlouvy a uzavřením smlouvy s vybraným dodavatelem. Zadavatel si vyhrazuje právo posunout termín zahájení plnění veřejné zakázky v důsledku prodloužení </w:t>
      </w:r>
      <w:r>
        <w:t>výběrového</w:t>
      </w:r>
      <w:r w:rsidRPr="00AB4626">
        <w:t xml:space="preserve"> řízení.</w:t>
      </w:r>
    </w:p>
    <w:p w14:paraId="724D2346" w14:textId="144F2281" w:rsidR="00C37371" w:rsidRDefault="00C37371" w:rsidP="002A653A">
      <w:pPr>
        <w:pStyle w:val="Nadpis2"/>
        <w:rPr>
          <w:szCs w:val="20"/>
        </w:rPr>
      </w:pPr>
      <w:r w:rsidRPr="00671354">
        <w:t>Místo plnění veřejné zakázky</w:t>
      </w:r>
    </w:p>
    <w:p w14:paraId="4797BAC8" w14:textId="229AEE48" w:rsidR="00F20FE9" w:rsidRPr="00833281" w:rsidRDefault="00973E73" w:rsidP="00947FA0">
      <w:pPr>
        <w:rPr>
          <w:u w:val="single"/>
        </w:rPr>
      </w:pPr>
      <w:r w:rsidRPr="00AB4626">
        <w:rPr>
          <w:rFonts w:cs="Arial"/>
          <w:szCs w:val="20"/>
        </w:rPr>
        <w:t xml:space="preserve">Místem plnění veřejné zakázky je území České republiky, resp. v případech uvedených v podmínkách </w:t>
      </w:r>
      <w:r w:rsidR="00DC3B9B">
        <w:rPr>
          <w:rFonts w:cs="Arial"/>
          <w:szCs w:val="20"/>
        </w:rPr>
        <w:t>výběrového</w:t>
      </w:r>
      <w:r w:rsidRPr="00AB4626">
        <w:rPr>
          <w:rFonts w:cs="Arial"/>
          <w:szCs w:val="20"/>
        </w:rPr>
        <w:t xml:space="preserve"> řízení a přílohách je místem plnění veřejné zakázky Evropa, případně celý svět.</w:t>
      </w:r>
    </w:p>
    <w:p w14:paraId="1075C87C" w14:textId="77777777" w:rsidR="00433C7C" w:rsidRPr="00671354" w:rsidRDefault="00433C7C" w:rsidP="00957D78">
      <w:pPr>
        <w:pStyle w:val="Nadpis1"/>
      </w:pPr>
      <w:bookmarkStart w:id="4" w:name="_Toc214365737"/>
      <w:r w:rsidRPr="00671354">
        <w:t>Obchodní podmínky</w:t>
      </w:r>
      <w:bookmarkEnd w:id="4"/>
    </w:p>
    <w:p w14:paraId="130FBC22" w14:textId="77777777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C53E4F">
        <w:rPr>
          <w:rFonts w:ascii="Verdana" w:hAnsi="Verdana" w:cs="Arial Narrow"/>
          <w:b/>
          <w:bCs/>
          <w:sz w:val="20"/>
          <w:szCs w:val="20"/>
        </w:rPr>
        <w:t>Dodavatel je povinen předložit v nabídce kompletní návrh pojistné smlouvy</w:t>
      </w:r>
      <w:r w:rsidRPr="00AB4626">
        <w:rPr>
          <w:rFonts w:ascii="Verdana" w:hAnsi="Verdana" w:cs="Arial Narrow"/>
          <w:sz w:val="20"/>
          <w:szCs w:val="20"/>
        </w:rPr>
        <w:t xml:space="preserve">. </w:t>
      </w:r>
    </w:p>
    <w:p w14:paraId="5DB110EF" w14:textId="3C3FE3BD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B4626">
        <w:rPr>
          <w:rFonts w:ascii="Verdana" w:hAnsi="Verdana" w:cs="Arial Narrow"/>
          <w:sz w:val="20"/>
          <w:szCs w:val="20"/>
        </w:rPr>
        <w:t>Návrh/y smlouvy musí po obsahové stránce bezvýhradně odpovídat veškerým podmínkám zadání, požadavkům uvedeným v</w:t>
      </w:r>
      <w:r>
        <w:rPr>
          <w:rFonts w:ascii="Verdana" w:hAnsi="Verdana" w:cs="Arial Narrow"/>
          <w:sz w:val="20"/>
          <w:szCs w:val="20"/>
        </w:rPr>
        <w:t> těchto podmínkám výběrového řízení</w:t>
      </w:r>
      <w:r w:rsidRPr="00AB4626">
        <w:rPr>
          <w:rFonts w:ascii="Verdana" w:hAnsi="Verdana" w:cs="Arial Narrow"/>
          <w:sz w:val="20"/>
          <w:szCs w:val="20"/>
        </w:rPr>
        <w:t xml:space="preserve"> a obsahu nabídky dodavatele. </w:t>
      </w:r>
    </w:p>
    <w:p w14:paraId="6E55B862" w14:textId="0F2318C7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B4626">
        <w:rPr>
          <w:rFonts w:ascii="Verdana" w:hAnsi="Verdana" w:cs="Arial Narrow"/>
          <w:sz w:val="20"/>
          <w:szCs w:val="20"/>
        </w:rPr>
        <w:t>Návrh/y smlouvy bude/ou podepsán/y statutárním orgánem dodavatele v souladu se způsobem podepisování za společnost uvedeným v obchodním rejstříku či osobou zmocněnou k takovému úkonu; originál či úředně ověřená kopie příslušné plné moci musí být v takovém případě součástí nabídky.  Zadavatel si vyhrazuje jednat o konečném znění návrhu smlouvy a upravit finální podobu smlouvy.</w:t>
      </w:r>
    </w:p>
    <w:p w14:paraId="698F8029" w14:textId="7C73B665" w:rsidR="00973E73" w:rsidRPr="00AB4626" w:rsidRDefault="00973E73" w:rsidP="00973E73">
      <w:pPr>
        <w:pStyle w:val="Styl5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AB4626">
        <w:rPr>
          <w:rFonts w:ascii="Verdana" w:hAnsi="Verdana"/>
          <w:sz w:val="20"/>
          <w:szCs w:val="20"/>
        </w:rPr>
        <w:t xml:space="preserve">Nabídka a návrh smlouvy budou zpracovány na 4 pojistné roky s účinností ode dne uveřejnění smlouvy v souladu se zákonem č. 340/2015 Sb., o zvláštních podmínkách účinnosti některých smluv, uveřejňování těchto smluv a o registru smluv, ve znění pozdějších předpisů </w:t>
      </w:r>
      <w:r>
        <w:rPr>
          <w:rFonts w:ascii="Verdana" w:hAnsi="Verdana"/>
          <w:sz w:val="20"/>
          <w:szCs w:val="20"/>
        </w:rPr>
        <w:t>(nejdříve však k 1. </w:t>
      </w:r>
      <w:r w:rsidR="00B70F3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 </w:t>
      </w:r>
      <w:r w:rsidRPr="00AB4626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6</w:t>
      </w:r>
      <w:r w:rsidRPr="00AB4626">
        <w:rPr>
          <w:rFonts w:ascii="Verdana" w:hAnsi="Verdana"/>
          <w:sz w:val="20"/>
          <w:szCs w:val="20"/>
        </w:rPr>
        <w:t xml:space="preserve">). </w:t>
      </w:r>
    </w:p>
    <w:p w14:paraId="413488C6" w14:textId="77777777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B4626">
        <w:rPr>
          <w:rFonts w:ascii="Verdana" w:hAnsi="Verdana" w:cs="Arial Narrow"/>
          <w:sz w:val="20"/>
          <w:szCs w:val="20"/>
        </w:rPr>
        <w:t>Pojistné bude hrazeno ve čtyřech splátkách čtvrtletně nejpozději poslední kalendářní den druhého měsíce příslušného pojistného čtvrtletí bez přirážky za področní placení.</w:t>
      </w:r>
    </w:p>
    <w:p w14:paraId="176FF2A4" w14:textId="77777777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B4626">
        <w:rPr>
          <w:rFonts w:ascii="Verdana" w:hAnsi="Verdana" w:cs="Arial Narrow"/>
          <w:sz w:val="20"/>
          <w:szCs w:val="20"/>
        </w:rPr>
        <w:t>Úhrada za plnění veřejné zakázky bude prováděna v české měně bezhotovostním převodem na bankovní účet dodavatele.</w:t>
      </w:r>
    </w:p>
    <w:p w14:paraId="3CBC47D5" w14:textId="77777777" w:rsidR="00973E73" w:rsidRPr="00AB4626" w:rsidRDefault="00973E73" w:rsidP="00973E73">
      <w:pPr>
        <w:pStyle w:val="Styl5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B4626">
        <w:rPr>
          <w:rFonts w:ascii="Verdana" w:hAnsi="Verdana"/>
          <w:sz w:val="20"/>
          <w:szCs w:val="20"/>
        </w:rPr>
        <w:t xml:space="preserve">Zadavatel nepřipouští nárůst pojistného v důsledku inflace, změny měnových kurzů ani v důsledku změny dalších parametrů, které mají vliv na vývoj ceny pojištění. </w:t>
      </w:r>
    </w:p>
    <w:p w14:paraId="1E1C9072" w14:textId="77777777" w:rsidR="00973E73" w:rsidRPr="00AB4626" w:rsidRDefault="00973E73" w:rsidP="00973E73">
      <w:pPr>
        <w:pStyle w:val="Styl5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AB4626">
        <w:rPr>
          <w:rFonts w:ascii="Verdana" w:hAnsi="Verdana"/>
          <w:sz w:val="20"/>
          <w:szCs w:val="20"/>
        </w:rPr>
        <w:lastRenderedPageBreak/>
        <w:t>Dojde-li k potřebě</w:t>
      </w:r>
      <w:r w:rsidRPr="00AB4626">
        <w:rPr>
          <w:rFonts w:ascii="Verdana" w:hAnsi="Verdana"/>
          <w:sz w:val="22"/>
          <w:szCs w:val="20"/>
        </w:rPr>
        <w:t xml:space="preserve"> </w:t>
      </w:r>
      <w:r w:rsidRPr="00AB4626">
        <w:rPr>
          <w:rFonts w:ascii="Verdana" w:hAnsi="Verdana"/>
          <w:sz w:val="20"/>
          <w:szCs w:val="20"/>
        </w:rPr>
        <w:t xml:space="preserve">dokoupení vyčerpaných limitů plnění, bude toto realizováno za využití příslušné sazby či jiné jednotkové ceny použité pro výpočet pojistného uvedeného v pojistné smlouvě. </w:t>
      </w:r>
    </w:p>
    <w:p w14:paraId="48DE25A1" w14:textId="77777777" w:rsidR="00973E73" w:rsidRPr="00AB4626" w:rsidRDefault="00973E73" w:rsidP="00973E73">
      <w:pPr>
        <w:pStyle w:val="Styl5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AB4626">
        <w:rPr>
          <w:rFonts w:ascii="Verdana" w:hAnsi="Verdana"/>
          <w:sz w:val="20"/>
          <w:szCs w:val="20"/>
        </w:rPr>
        <w:t xml:space="preserve">Dodavatel není oprávněn do návrhu smlouvy vložit žádné podmínky, které by obsahovaly ujednání o smluvních pokutách, sankcích či jiném zatížení pro zadavatele, vyjma zákonných úroků z prodlení pro nedodržení závazků zadavatele. </w:t>
      </w:r>
    </w:p>
    <w:p w14:paraId="0D565E85" w14:textId="77777777" w:rsidR="00973E73" w:rsidRPr="00AB4626" w:rsidRDefault="00973E73" w:rsidP="00973E73">
      <w:pPr>
        <w:pStyle w:val="Styl5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AB4626">
        <w:rPr>
          <w:rFonts w:ascii="Verdana" w:hAnsi="Verdana"/>
          <w:sz w:val="20"/>
          <w:szCs w:val="20"/>
        </w:rPr>
        <w:t>Právní vztahy vzniklé ze smlouvy se budou řídit českými právními předpisy a případné spory z těchto právních vztahů vzniklé budou rozhodovat příslušné obecné české soudy.</w:t>
      </w:r>
    </w:p>
    <w:p w14:paraId="686AB900" w14:textId="4574BD4D" w:rsidR="00957D78" w:rsidRPr="00671354" w:rsidRDefault="00973E73" w:rsidP="00973E73">
      <w:r w:rsidRPr="00AB4626">
        <w:rPr>
          <w:bCs/>
          <w:szCs w:val="20"/>
        </w:rPr>
        <w:t>Zadavatel požaduje, aby účastníci do nabídky přiložili i své všeobecné pojistné podmínky a dodatkové smluvní podmínky, pokud na ně předložená pojistná smlouva odkazuje.</w:t>
      </w:r>
    </w:p>
    <w:p w14:paraId="614818F4" w14:textId="77777777" w:rsidR="00433C7C" w:rsidRPr="00671354" w:rsidRDefault="00433C7C" w:rsidP="00957D78">
      <w:pPr>
        <w:pStyle w:val="Nadpis1"/>
      </w:pPr>
      <w:bookmarkStart w:id="5" w:name="_Toc214365738"/>
      <w:r w:rsidRPr="00671354">
        <w:t>Požadavky zadavatele na prokázání kvalifikace</w:t>
      </w:r>
      <w:bookmarkEnd w:id="5"/>
    </w:p>
    <w:p w14:paraId="25F22E52" w14:textId="77777777" w:rsidR="00AF0A5C" w:rsidRPr="004E5F33" w:rsidRDefault="00AF0A5C" w:rsidP="00AF0A5C">
      <w:r w:rsidRPr="004E5F33">
        <w:t>Kvalifikovaným pro plnění veřejné zakázky je dodavatel, který splní následující podmínky:</w:t>
      </w:r>
    </w:p>
    <w:p w14:paraId="24EB14DF" w14:textId="698C80C2" w:rsidR="00C37371" w:rsidRDefault="00C37371" w:rsidP="002A653A">
      <w:pPr>
        <w:pStyle w:val="Nadpis2"/>
      </w:pPr>
      <w:r>
        <w:t>Splnění způsobilosti a kvalifikace</w:t>
      </w:r>
    </w:p>
    <w:p w14:paraId="108AF6A0" w14:textId="77777777" w:rsidR="00C37371" w:rsidRDefault="00C37371" w:rsidP="00C37371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3A736B67" w14:textId="3E240BC0" w:rsidR="00C37371" w:rsidRPr="00C37371" w:rsidRDefault="00C37371" w:rsidP="00C37371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6E7C5EC" w14:textId="67D65796" w:rsidR="00AF0A5C" w:rsidRDefault="00AF0A5C" w:rsidP="002A653A">
      <w:pPr>
        <w:pStyle w:val="Nadpis2"/>
      </w:pPr>
      <w:r>
        <w:t>Prokázání základní způsobilosti dle § 75 ZZVZ</w:t>
      </w:r>
    </w:p>
    <w:p w14:paraId="14A0C92D" w14:textId="77777777" w:rsidR="00AF0A5C" w:rsidRPr="004E5F33" w:rsidRDefault="00AF0A5C" w:rsidP="00AF0A5C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77528009" w14:textId="77777777" w:rsidR="00AF0A5C" w:rsidRDefault="00AF0A5C" w:rsidP="002A653A">
      <w:pPr>
        <w:pStyle w:val="Nadpis2"/>
      </w:pPr>
      <w:r>
        <w:t>Prokázání profesní způsobilosti</w:t>
      </w:r>
    </w:p>
    <w:p w14:paraId="3306DE6B" w14:textId="77777777" w:rsidR="00833281" w:rsidRDefault="00833281" w:rsidP="00833281">
      <w:pPr>
        <w:spacing w:after="60"/>
      </w:pPr>
      <w:r>
        <w:t>Účastník je povinen k prokázání splnění profesních kvalifikačních předpokladů předložit:</w:t>
      </w:r>
    </w:p>
    <w:p w14:paraId="298F802C" w14:textId="77777777" w:rsidR="00833281" w:rsidRDefault="00833281" w:rsidP="00833281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134CE89" w14:textId="2D14552A" w:rsidR="00833281" w:rsidRDefault="00833281" w:rsidP="00833281">
      <w:pPr>
        <w:pStyle w:val="Odstavecseseznamem"/>
        <w:numPr>
          <w:ilvl w:val="0"/>
          <w:numId w:val="4"/>
        </w:numPr>
        <w:spacing w:after="60"/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, že je oprávněn podnikat v rozsahu odpovídajícímu předmětu veřejné zakázky, pokud jiné právní předpisy takové oprávnění vyžadují. Dodavatel </w:t>
      </w:r>
      <w:r>
        <w:rPr>
          <w:szCs w:val="20"/>
        </w:rPr>
        <w:t>splní</w:t>
      </w:r>
      <w:r w:rsidRPr="00A948C5">
        <w:rPr>
          <w:szCs w:val="20"/>
        </w:rPr>
        <w:t xml:space="preserve"> tuto podmínku předložením platného oprávnění </w:t>
      </w:r>
      <w:r>
        <w:rPr>
          <w:szCs w:val="20"/>
        </w:rPr>
        <w:t xml:space="preserve">k </w:t>
      </w:r>
      <w:r w:rsidRPr="00A948C5">
        <w:rPr>
          <w:szCs w:val="20"/>
        </w:rPr>
        <w:t xml:space="preserve">podnikání. </w:t>
      </w:r>
      <w:r w:rsidR="00973E73" w:rsidRPr="009437C5">
        <w:rPr>
          <w:szCs w:val="20"/>
        </w:rPr>
        <w:t xml:space="preserve">Dodavatel prokáže tuto podmínku doložením </w:t>
      </w:r>
      <w:r w:rsidR="00973E73" w:rsidRPr="009437C5">
        <w:rPr>
          <w:b/>
          <w:bCs/>
          <w:szCs w:val="20"/>
        </w:rPr>
        <w:t>doklad</w:t>
      </w:r>
      <w:r w:rsidR="00C53E4F">
        <w:rPr>
          <w:b/>
          <w:bCs/>
          <w:szCs w:val="20"/>
        </w:rPr>
        <w:t>u</w:t>
      </w:r>
      <w:r w:rsidR="00973E73" w:rsidRPr="009437C5">
        <w:rPr>
          <w:b/>
          <w:bCs/>
          <w:szCs w:val="20"/>
        </w:rPr>
        <w:t xml:space="preserve"> o oprávnění k podnikání </w:t>
      </w:r>
      <w:r w:rsidR="00973E73" w:rsidRPr="009437C5">
        <w:rPr>
          <w:szCs w:val="20"/>
        </w:rPr>
        <w:t>podle zvláštních právních předpisů v rozsahu odpovídajícím předmětu veřejné zakázky, zejména povolení k provozování pojišťovací činnosti udělené ČNB dle zákona č. 277/2009 Sb., o pojišť</w:t>
      </w:r>
      <w:r w:rsidR="00973E73">
        <w:rPr>
          <w:szCs w:val="20"/>
        </w:rPr>
        <w:t>ovnictví, ve </w:t>
      </w:r>
      <w:r w:rsidR="00973E73" w:rsidRPr="009437C5">
        <w:rPr>
          <w:szCs w:val="20"/>
        </w:rPr>
        <w:t>znění pozdějších předpisů (popř. obdobné povolení opravňující pojišťovnu z jiného členského státu EU provozovat pojišťovací činnost na území České republiky)</w:t>
      </w:r>
      <w:r>
        <w:t>.</w:t>
      </w:r>
    </w:p>
    <w:p w14:paraId="0150F9B0" w14:textId="77777777" w:rsidR="00AF0A5C" w:rsidRDefault="00AF0A5C" w:rsidP="002A653A">
      <w:pPr>
        <w:pStyle w:val="Nadpis2"/>
      </w:pPr>
      <w:r>
        <w:t>Prokázání ekonomické kvalifikace</w:t>
      </w:r>
    </w:p>
    <w:p w14:paraId="1A877C21" w14:textId="0BB64676" w:rsidR="00AF0A5C" w:rsidRPr="00E54221" w:rsidRDefault="00973E73" w:rsidP="00AF0A5C">
      <w:r w:rsidRPr="009C0EAB">
        <w:rPr>
          <w:szCs w:val="20"/>
        </w:rPr>
        <w:t>Zadavatel prokázání ekonomických kvalifikačních předpokladů nepožaduje.</w:t>
      </w:r>
    </w:p>
    <w:p w14:paraId="5AB1B164" w14:textId="77777777" w:rsidR="00AF0A5C" w:rsidRDefault="00AF0A5C" w:rsidP="002A653A">
      <w:pPr>
        <w:pStyle w:val="Nadpis2"/>
      </w:pPr>
      <w:r>
        <w:lastRenderedPageBreak/>
        <w:t>Prokázání technické kvalifikace</w:t>
      </w:r>
    </w:p>
    <w:p w14:paraId="6DEF1F88" w14:textId="2623B1FA" w:rsidR="005C0595" w:rsidRDefault="00973E73" w:rsidP="00AF0A5C">
      <w:r w:rsidRPr="009F7CFE">
        <w:t xml:space="preserve">Zadavatel prokázání </w:t>
      </w:r>
      <w:r>
        <w:t>technických</w:t>
      </w:r>
      <w:r w:rsidRPr="009F7CFE">
        <w:t xml:space="preserve"> kvalifikačních předpokladů nepožaduje.</w:t>
      </w:r>
    </w:p>
    <w:p w14:paraId="0999909B" w14:textId="77777777" w:rsidR="00AF0A5C" w:rsidRDefault="00AF0A5C" w:rsidP="002A653A">
      <w:pPr>
        <w:pStyle w:val="Nadpis2"/>
      </w:pPr>
      <w:r>
        <w:t>Prokazování kvalifikace získané v zahraničí</w:t>
      </w:r>
    </w:p>
    <w:p w14:paraId="634D48DF" w14:textId="77777777" w:rsidR="00AF0A5C" w:rsidRPr="00212CB9" w:rsidRDefault="00AF0A5C" w:rsidP="00AF0A5C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26F1868E" w14:textId="77777777" w:rsidR="00AF0A5C" w:rsidRDefault="00AF0A5C" w:rsidP="002A653A">
      <w:pPr>
        <w:pStyle w:val="Nadpis2"/>
      </w:pPr>
      <w:r w:rsidRPr="005802EB">
        <w:t>Prokázání kvalifikace v případě společné účasti dodavatelů</w:t>
      </w:r>
    </w:p>
    <w:p w14:paraId="1AC3AC83" w14:textId="77777777" w:rsidR="00AF0A5C" w:rsidRPr="00212CB9" w:rsidRDefault="00AF0A5C" w:rsidP="00AF0A5C">
      <w:r w:rsidRPr="00212CB9">
        <w:t>V případě společné účasti dodavatelů prokazuje základní způsobilost a profesní způsobilost podle § 77 odst. 1 ZZVZ každý dodavatel samostatně.</w:t>
      </w:r>
    </w:p>
    <w:p w14:paraId="5FBDD689" w14:textId="77777777" w:rsidR="00AF0A5C" w:rsidRDefault="00AF0A5C" w:rsidP="002A653A">
      <w:pPr>
        <w:pStyle w:val="Nadpis2"/>
      </w:pPr>
      <w:r w:rsidRPr="00217978">
        <w:t>Pravost a stáří dokladů prokazujících splnění kvalifikace</w:t>
      </w:r>
    </w:p>
    <w:p w14:paraId="10DC2169" w14:textId="77777777" w:rsidR="00EE1726" w:rsidRDefault="00EE1726" w:rsidP="00EE1726">
      <w:r>
        <w:t>Dodavatel prokazuje kvalifikaci doklady, které splňují náležitosti dle ustanovení § 86 zákona.</w:t>
      </w:r>
    </w:p>
    <w:p w14:paraId="67FA723D" w14:textId="77777777" w:rsidR="00EE1726" w:rsidRDefault="00EE1726" w:rsidP="00EE1726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0DFD77BD" w14:textId="77777777" w:rsidR="00AF0A5C" w:rsidRPr="00212CB9" w:rsidRDefault="00EE1726" w:rsidP="00EE1726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FE73E83" w14:textId="77777777" w:rsidR="00AF0A5C" w:rsidRDefault="00AF0A5C" w:rsidP="002A653A">
      <w:pPr>
        <w:pStyle w:val="Nadpis2"/>
      </w:pPr>
      <w:r w:rsidRPr="00217978">
        <w:t>Další způsoby prokázání kvalifikace</w:t>
      </w:r>
    </w:p>
    <w:p w14:paraId="755611E9" w14:textId="77777777" w:rsidR="00EE1726" w:rsidRDefault="00EE1726" w:rsidP="00EE172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1FA0E2F" w14:textId="77777777" w:rsidR="00EE1726" w:rsidRDefault="00EE1726" w:rsidP="00EE1726">
      <w:r>
        <w:t>Dodavatel může prokázat požadovanou kvalifikaci předložením certifikátu vydaného v rámci systému certifikovaných dodavatelů v souladu a za podmínek ustanovení § 233 a násl. ZZVZ.</w:t>
      </w:r>
    </w:p>
    <w:p w14:paraId="70FEE256" w14:textId="77777777" w:rsidR="00EE1726" w:rsidRDefault="00EE1726" w:rsidP="00EE172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7D3DDF19" w14:textId="77777777" w:rsidR="00EE1726" w:rsidRDefault="00EE1726" w:rsidP="00EE172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49A4BB8A" w14:textId="77777777" w:rsidR="00AF0A5C" w:rsidRPr="00C06A6D" w:rsidRDefault="00EE1726" w:rsidP="00EE172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4FBB87E8" w14:textId="77777777" w:rsidR="00AF0A5C" w:rsidRDefault="00AF0A5C" w:rsidP="002A653A">
      <w:pPr>
        <w:pStyle w:val="Nadpis2"/>
      </w:pPr>
      <w:r w:rsidRPr="00217978">
        <w:t>Změny kvalifikace účastníka výběrového řízení</w:t>
      </w:r>
    </w:p>
    <w:p w14:paraId="6859A2E6" w14:textId="77777777" w:rsidR="00EE1726" w:rsidRDefault="00EE1726" w:rsidP="00EE1726">
      <w:pPr>
        <w:spacing w:after="60"/>
      </w:pPr>
      <w:r>
        <w:t xml:space="preserve">Pokud po předložení dokladů nebo prohlášení o kvalifikaci dojde v průběhu výběrového řízení ke změně kvalifikace účastníka výběrového řízení, je účastník výběrového řízení </w:t>
      </w:r>
      <w:r>
        <w:lastRenderedPageBreak/>
        <w:t>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1CB46AB" w14:textId="77777777" w:rsidR="00EE1726" w:rsidRDefault="00EE1726" w:rsidP="00EE1726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E62E449" w14:textId="77777777" w:rsidR="00EE1726" w:rsidRDefault="00EE1726" w:rsidP="00EE1726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32DCC061" w14:textId="77777777" w:rsidR="00EE1726" w:rsidRDefault="00EE1726" w:rsidP="00EE172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59CD0674" w14:textId="77777777" w:rsidR="00C06A6D" w:rsidRPr="00671354" w:rsidRDefault="00EE1726" w:rsidP="00EE1726">
      <w:r>
        <w:t>Dozví-li se zadavatel, že dodavatel nesplnil shora uvedenou povinnost, zadavatel jej bezodkladně vyloučí z výběrového řízení.</w:t>
      </w:r>
    </w:p>
    <w:p w14:paraId="297D7957" w14:textId="77777777" w:rsidR="00433C7C" w:rsidRPr="00671354" w:rsidRDefault="005802EB" w:rsidP="00957D78">
      <w:pPr>
        <w:pStyle w:val="Nadpis1"/>
      </w:pPr>
      <w:bookmarkStart w:id="6" w:name="_Toc214365739"/>
      <w:r w:rsidRPr="00671354">
        <w:t xml:space="preserve">Vysvětlení výzvy, změna nebo doplnění </w:t>
      </w:r>
      <w:r w:rsidR="00C156B7">
        <w:t xml:space="preserve">výzvy </w:t>
      </w:r>
      <w:r w:rsidR="00E1259C">
        <w:t>pro zadání veřejné zakázky</w:t>
      </w:r>
      <w:bookmarkEnd w:id="6"/>
    </w:p>
    <w:p w14:paraId="4DA4D958" w14:textId="77777777" w:rsidR="00EE1726" w:rsidRPr="00671354" w:rsidRDefault="00EE1726" w:rsidP="00EE1726">
      <w:r w:rsidRPr="00671354"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4832DD89" w14:textId="2D2FC67D" w:rsidR="003A0956" w:rsidRPr="00671354" w:rsidRDefault="00EE1726" w:rsidP="00EE1726">
      <w:r w:rsidRPr="00671354">
        <w:t xml:space="preserve">Účastník je oprávněn požadovat prostřednictvím profilu zadavatele vysvětlení výzvy. K tomu slouží proklik </w:t>
      </w:r>
      <w:r w:rsidRPr="00671354">
        <w:rPr>
          <w:b/>
        </w:rPr>
        <w:t>poslat žádost o vysvětlení zadávací dokumentace na profilu zadavatele</w:t>
      </w:r>
      <w:r w:rsidRPr="00671354">
        <w:t xml:space="preserve"> v detailu veřejné zakázky, v sekci Vysvětlení, doplnění, změny zadávací dokumentace. Elektronická žádost musí být zadavateli doručena nejpozději 4 pracovní dny před uplynutím lhůty pro podání nabídek.</w:t>
      </w:r>
      <w:r w:rsidR="00FF3D0C">
        <w:t xml:space="preserve"> </w:t>
      </w:r>
      <w:r w:rsidRPr="00671354">
        <w:t>Zadavatel odešle vysvětlení výzvy nejpozději 3 pracovní dny před uplynutím lhůty pro podání nabídek.</w:t>
      </w:r>
      <w:r w:rsidR="00FF3D0C">
        <w:t xml:space="preserve"> </w:t>
      </w:r>
      <w:r w:rsidR="00FF3D0C" w:rsidRPr="00FF3D0C">
        <w:t>Zadavatel si vyhrazuje právo nezodpovědět dotazy, které budou doručeny později než 4 pracovní dny před uplynutím lhůty pro podání nabídek.</w:t>
      </w:r>
    </w:p>
    <w:p w14:paraId="62699F11" w14:textId="77777777" w:rsidR="005802EB" w:rsidRPr="00671354" w:rsidRDefault="005802EB" w:rsidP="00957D78">
      <w:pPr>
        <w:pStyle w:val="Nadpis1"/>
      </w:pPr>
      <w:bookmarkStart w:id="7" w:name="_Toc468714628"/>
      <w:bookmarkStart w:id="8" w:name="_Toc479323370"/>
      <w:bookmarkStart w:id="9" w:name="_Toc482593860"/>
      <w:bookmarkStart w:id="10" w:name="_Toc214365740"/>
      <w:r w:rsidRPr="00671354">
        <w:t>Další požadavky a upozornění zadavatele</w:t>
      </w:r>
      <w:bookmarkEnd w:id="7"/>
      <w:bookmarkEnd w:id="8"/>
      <w:bookmarkEnd w:id="9"/>
      <w:bookmarkEnd w:id="10"/>
    </w:p>
    <w:p w14:paraId="09084843" w14:textId="77777777" w:rsidR="00EE1726" w:rsidRDefault="00EE1726" w:rsidP="00EE1726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1DC8FA33" w14:textId="77777777" w:rsidR="007D5219" w:rsidRPr="00671354" w:rsidRDefault="00EE1726" w:rsidP="00EE1726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233316C" w14:textId="77777777" w:rsidR="005802EB" w:rsidRPr="00671354" w:rsidRDefault="005802EB" w:rsidP="00957D78">
      <w:pPr>
        <w:pStyle w:val="Nadpis1"/>
      </w:pPr>
      <w:bookmarkStart w:id="11" w:name="_Toc468714629"/>
      <w:bookmarkStart w:id="12" w:name="_Toc479323371"/>
      <w:bookmarkStart w:id="13" w:name="_Toc482593861"/>
      <w:bookmarkStart w:id="14" w:name="_Toc214365741"/>
      <w:r w:rsidRPr="00671354">
        <w:t>Prohlídka místa plnění</w:t>
      </w:r>
      <w:bookmarkEnd w:id="11"/>
      <w:bookmarkEnd w:id="12"/>
      <w:bookmarkEnd w:id="13"/>
      <w:bookmarkEnd w:id="14"/>
    </w:p>
    <w:p w14:paraId="40FBCD3B" w14:textId="41B0292E" w:rsidR="007D5219" w:rsidRPr="00C07865" w:rsidRDefault="00973E73" w:rsidP="007D5219">
      <w:pPr>
        <w:rPr>
          <w:b/>
          <w:bCs/>
        </w:rPr>
      </w:pPr>
      <w:r w:rsidRPr="001F468C">
        <w:t>Prohlídka místa plnění se s ohledem na předmět plnění veřejné zakázky neuskuteční.</w:t>
      </w:r>
    </w:p>
    <w:p w14:paraId="16FD37D6" w14:textId="77777777" w:rsidR="005802EB" w:rsidRPr="00671354" w:rsidRDefault="005802EB" w:rsidP="00957D78">
      <w:pPr>
        <w:pStyle w:val="Nadpis1"/>
      </w:pPr>
      <w:bookmarkStart w:id="15" w:name="_Toc214365742"/>
      <w:r w:rsidRPr="00671354">
        <w:t>Jistota</w:t>
      </w:r>
      <w:bookmarkEnd w:id="15"/>
    </w:p>
    <w:p w14:paraId="0B53D9B2" w14:textId="77777777" w:rsidR="007D5219" w:rsidRPr="00671354" w:rsidRDefault="007D5219" w:rsidP="007D5219">
      <w:r w:rsidRPr="00671354">
        <w:t>Zadavatel k zajištění splnění povinností účastníka</w:t>
      </w:r>
      <w:r w:rsidR="00924B0F">
        <w:t xml:space="preserve"> vyplývajících z jeho účasti ve </w:t>
      </w:r>
      <w:r w:rsidRPr="00671354">
        <w:t>výběrovém řízení nepožaduje jistotu.</w:t>
      </w:r>
    </w:p>
    <w:p w14:paraId="2AD34A0C" w14:textId="77777777" w:rsidR="005802EB" w:rsidRPr="00671354" w:rsidRDefault="005802EB" w:rsidP="00957D78">
      <w:pPr>
        <w:pStyle w:val="Nadpis1"/>
      </w:pPr>
      <w:bookmarkStart w:id="16" w:name="_Toc214365743"/>
      <w:r w:rsidRPr="00671354">
        <w:lastRenderedPageBreak/>
        <w:t>Nabídka</w:t>
      </w:r>
      <w:bookmarkEnd w:id="16"/>
    </w:p>
    <w:p w14:paraId="06CC73AC" w14:textId="15FA6E5C" w:rsidR="007D5219" w:rsidRPr="00671354" w:rsidRDefault="007D5219" w:rsidP="007D5219">
      <w:r w:rsidRPr="00671354">
        <w:t>Nabídka účastníka musí být zpracována v souladu s požadavky stanovenými touto výzvou. Účastník musí při zpracování nabídky respektovat požadavky a podmínky stanovené zadavatelem ve výzvě včetně specifikace předmětu plnění, a takto úplná nabídka musí být řádně doručena zadavateli ve stanovené lhůtě pro podání nabídek.</w:t>
      </w:r>
    </w:p>
    <w:p w14:paraId="6C7E41A2" w14:textId="77777777" w:rsidR="005802EB" w:rsidRPr="00671354" w:rsidRDefault="005802EB" w:rsidP="002A653A">
      <w:pPr>
        <w:pStyle w:val="Nadpis2"/>
      </w:pPr>
      <w:r w:rsidRPr="00671354">
        <w:t>Lhůta vázanosti nabídkou</w:t>
      </w:r>
    </w:p>
    <w:p w14:paraId="42A8CDE0" w14:textId="3AC093BC" w:rsidR="007D5219" w:rsidRPr="00671354" w:rsidRDefault="007D5219" w:rsidP="007D5219">
      <w:r w:rsidRPr="00671354">
        <w:t xml:space="preserve">Zadavatel </w:t>
      </w:r>
      <w:r w:rsidR="00B41AC7">
        <w:t>ne</w:t>
      </w:r>
      <w:r w:rsidRPr="00671354">
        <w:t>stanovuje za</w:t>
      </w:r>
      <w:r w:rsidR="00716569" w:rsidRPr="00671354">
        <w:t>dávací lhůtu</w:t>
      </w:r>
      <w:r w:rsidRPr="00671354">
        <w:t>.</w:t>
      </w:r>
    </w:p>
    <w:p w14:paraId="60EEE51D" w14:textId="77777777" w:rsidR="005802EB" w:rsidRPr="00671354" w:rsidRDefault="005802EB" w:rsidP="002A653A">
      <w:pPr>
        <w:pStyle w:val="Nadpis2"/>
      </w:pPr>
      <w:r w:rsidRPr="00671354">
        <w:t>Obsah nabídky</w:t>
      </w:r>
    </w:p>
    <w:p w14:paraId="47D8621A" w14:textId="77777777" w:rsidR="00AD06CB" w:rsidRPr="00F9282B" w:rsidRDefault="00AD06CB" w:rsidP="00AD06CB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3384DBF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320B6B1C" w14:textId="495392F0" w:rsidR="00AD06CB" w:rsidRPr="00F9282B" w:rsidRDefault="00AD06CB" w:rsidP="00AD06CB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C53E4F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7B18D906" w14:textId="77777777" w:rsidR="00AD06CB" w:rsidRPr="00F9282B" w:rsidRDefault="00AD06CB" w:rsidP="00AD06CB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034AC2CE" w14:textId="77777777" w:rsidR="00AD06CB" w:rsidRPr="00F9282B" w:rsidRDefault="00AD06CB" w:rsidP="00AD06CB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620039E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7537B9BC" w14:textId="77777777" w:rsidR="00AD06CB" w:rsidRPr="00F9282B" w:rsidRDefault="00AD06CB" w:rsidP="00AD06CB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75DD635F" w14:textId="4B37C414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Dokumenty k prokázání </w:t>
      </w:r>
      <w:r w:rsidR="002E5467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493A19F0" w14:textId="77777777" w:rsidR="00AD06CB" w:rsidRPr="00F9282B" w:rsidRDefault="00AD06CB" w:rsidP="00AD06CB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7046DA50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7A89836" w14:textId="53385F6E" w:rsidR="00943BAC" w:rsidRPr="00EE119B" w:rsidRDefault="00943BAC" w:rsidP="00AD06CB">
      <w:pPr>
        <w:spacing w:after="60"/>
        <w:ind w:left="709"/>
        <w:rPr>
          <w:b/>
          <w:bCs/>
          <w:szCs w:val="20"/>
        </w:rPr>
      </w:pPr>
      <w:r w:rsidRPr="00EE119B">
        <w:rPr>
          <w:b/>
          <w:bCs/>
          <w:szCs w:val="20"/>
        </w:rPr>
        <w:t>Účastník je povinen zejména předložit návrh pojistné smlouvy včetně příloh (viz čl. 5 této výzvy)</w:t>
      </w:r>
      <w:r w:rsidR="008F7646">
        <w:rPr>
          <w:b/>
          <w:bCs/>
          <w:szCs w:val="20"/>
        </w:rPr>
        <w:t xml:space="preserve"> a oceněný Pojistný program (viz Příloha č. 4 této výzvy)</w:t>
      </w:r>
    </w:p>
    <w:p w14:paraId="6932115E" w14:textId="6DEA7C1F" w:rsidR="00AD06CB" w:rsidRPr="00003379" w:rsidRDefault="00AD06CB" w:rsidP="00AD06CB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40D128FA" w14:textId="77777777" w:rsidR="00AD06CB" w:rsidRPr="00003379" w:rsidRDefault="00AD06CB" w:rsidP="00AD06CB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331DD2E4" w14:textId="77777777" w:rsidR="00AD06CB" w:rsidRPr="00003379" w:rsidRDefault="00AD06CB" w:rsidP="00AD06CB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A304707" w14:textId="77777777" w:rsidR="007D5219" w:rsidRPr="00671354" w:rsidRDefault="00AD06CB" w:rsidP="00AD06CB">
      <w:r w:rsidRPr="00003379">
        <w:rPr>
          <w:b/>
          <w:szCs w:val="20"/>
        </w:rPr>
        <w:t>Jednotlivá prohlášení musí být dodavatelem podepsána.</w:t>
      </w:r>
    </w:p>
    <w:p w14:paraId="492194FC" w14:textId="77777777" w:rsidR="005802EB" w:rsidRPr="00671354" w:rsidRDefault="005802EB" w:rsidP="002A653A">
      <w:pPr>
        <w:pStyle w:val="Nadpis2"/>
      </w:pPr>
      <w:r w:rsidRPr="00671354">
        <w:t>Formální úprava nabídky</w:t>
      </w:r>
    </w:p>
    <w:p w14:paraId="06D4AD10" w14:textId="4BBB0671" w:rsidR="00973E73" w:rsidRDefault="00973E73" w:rsidP="00973E73">
      <w:pPr>
        <w:pStyle w:val="Odstavecseseznamem"/>
        <w:ind w:left="0"/>
        <w:contextualSpacing w:val="0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C3B9B">
        <w:t xml:space="preserve"> výběrového řízení</w:t>
      </w:r>
      <w:r>
        <w:t>.</w:t>
      </w:r>
    </w:p>
    <w:p w14:paraId="2C0F1763" w14:textId="27FFE986" w:rsidR="00AD06CB" w:rsidRPr="003326AD" w:rsidRDefault="00973E73" w:rsidP="00973E73">
      <w:r w:rsidRPr="00BF2925">
        <w:rPr>
          <w:b/>
        </w:rPr>
        <w:lastRenderedPageBreak/>
        <w:t>Nabídka bude předložena v písemné formě v českém nebo slovenském jazyce</w:t>
      </w:r>
      <w:r>
        <w:t xml:space="preserve"> </w:t>
      </w:r>
      <w:r w:rsidRPr="007A6617">
        <w:rPr>
          <w:b/>
          <w:u w:val="single"/>
        </w:rPr>
        <w:t>pouze v elektronické podobě</w:t>
      </w:r>
      <w:r>
        <w:t xml:space="preserve"> prostřednictvím elektronického nástroje E-ZAK. M</w:t>
      </w:r>
      <w:r w:rsidRPr="003326AD">
        <w:t>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  <w:r w:rsidRPr="003326AD">
        <w:t xml:space="preserve"> Dodavatel musí být připojen k síti Internet (Microsoft Internet Explorer verze 6.0 a vyšší), u kterého je nutné mít povolen Java Script.</w:t>
      </w:r>
    </w:p>
    <w:p w14:paraId="5A00FA78" w14:textId="77777777" w:rsidR="00AD06CB" w:rsidRDefault="00AD06CB" w:rsidP="00AD06CB">
      <w:pPr>
        <w:pStyle w:val="Nadpis1"/>
      </w:pPr>
      <w:bookmarkStart w:id="17" w:name="_Toc483393644"/>
      <w:bookmarkStart w:id="18" w:name="_Toc510606847"/>
      <w:bookmarkStart w:id="19" w:name="_Toc214365744"/>
      <w:r>
        <w:t>Hodnotící kritéria</w:t>
      </w:r>
      <w:bookmarkEnd w:id="17"/>
      <w:bookmarkEnd w:id="18"/>
      <w:bookmarkEnd w:id="19"/>
    </w:p>
    <w:p w14:paraId="7295AEB3" w14:textId="77777777" w:rsidR="00AD06CB" w:rsidRDefault="00AD06CB" w:rsidP="002A653A">
      <w:pPr>
        <w:pStyle w:val="Nadpis2"/>
      </w:pPr>
      <w:r>
        <w:t>Hodnotící kritéria</w:t>
      </w:r>
    </w:p>
    <w:p w14:paraId="735BF273" w14:textId="4615A850" w:rsidR="00AD06CB" w:rsidRDefault="00AD06CB" w:rsidP="00AD06CB">
      <w:r>
        <w:t xml:space="preserve">Hodnotícím kritériem je </w:t>
      </w:r>
      <w:r w:rsidRPr="00E145F9">
        <w:rPr>
          <w:b/>
          <w:bCs/>
        </w:rPr>
        <w:t>nejnižší nabídková cena</w:t>
      </w:r>
      <w:r w:rsidR="00973E73">
        <w:rPr>
          <w:b/>
          <w:bCs/>
        </w:rPr>
        <w:t xml:space="preserve"> pojistného</w:t>
      </w:r>
      <w:r w:rsidRPr="00E145F9">
        <w:rPr>
          <w:b/>
          <w:bCs/>
        </w:rPr>
        <w:t xml:space="preserve"> v Kč </w:t>
      </w:r>
      <w:r w:rsidR="00973E73">
        <w:rPr>
          <w:b/>
          <w:bCs/>
        </w:rPr>
        <w:t>ročně</w:t>
      </w:r>
      <w:r w:rsidR="004564F8">
        <w:rPr>
          <w:b/>
          <w:bCs/>
        </w:rPr>
        <w:t>.</w:t>
      </w:r>
    </w:p>
    <w:p w14:paraId="2971157F" w14:textId="2F8024F4" w:rsidR="00AD06CB" w:rsidRPr="00F03C72" w:rsidRDefault="00AD06CB" w:rsidP="00AD06CB">
      <w:pPr>
        <w:rPr>
          <w:szCs w:val="20"/>
        </w:rPr>
      </w:pPr>
      <w:r>
        <w:t>Zadavatel bude hodnotit celkovou nabídkovou cenu v Kč, proto zadavatel upozorňuje účastníka na řádné vyplnění nabídkové ceny do Krycího listu v požadované struktuře.</w:t>
      </w:r>
    </w:p>
    <w:p w14:paraId="72527C61" w14:textId="77777777" w:rsidR="00AD06CB" w:rsidRPr="0062309A" w:rsidRDefault="00AD06CB" w:rsidP="002A653A">
      <w:pPr>
        <w:pStyle w:val="Nadpis2"/>
      </w:pPr>
      <w:r w:rsidRPr="0062309A">
        <w:t>Výsledné pořadí nabídek</w:t>
      </w:r>
    </w:p>
    <w:p w14:paraId="617A8DDF" w14:textId="77777777" w:rsidR="001F0158" w:rsidRPr="00671354" w:rsidRDefault="00AD06CB" w:rsidP="00AD06CB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5A18EEF" w14:textId="77777777" w:rsidR="00DF1F81" w:rsidRPr="00671354" w:rsidRDefault="00DF1F81" w:rsidP="00957D78">
      <w:pPr>
        <w:pStyle w:val="Nadpis1"/>
      </w:pPr>
      <w:bookmarkStart w:id="20" w:name="_Toc214365745"/>
      <w:r w:rsidRPr="00671354">
        <w:t>Požadavky na zpracování nabídkové ceny</w:t>
      </w:r>
      <w:bookmarkEnd w:id="20"/>
    </w:p>
    <w:p w14:paraId="2086BCB6" w14:textId="0D90645C" w:rsidR="004564F8" w:rsidRPr="006F48B8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6F48B8">
        <w:rPr>
          <w:rFonts w:ascii="Verdana" w:hAnsi="Verdana"/>
          <w:sz w:val="20"/>
          <w:szCs w:val="20"/>
        </w:rPr>
        <w:t xml:space="preserve">Dodavatelé stanoví nabídkovou cenu za splnění předmětu veřejné zakázky v souladu s podmínkami </w:t>
      </w:r>
      <w:r>
        <w:rPr>
          <w:rFonts w:ascii="Verdana" w:hAnsi="Verdana"/>
          <w:sz w:val="20"/>
          <w:szCs w:val="20"/>
        </w:rPr>
        <w:t>výběrového řízení</w:t>
      </w:r>
      <w:r w:rsidRPr="006F48B8">
        <w:rPr>
          <w:rFonts w:ascii="Verdana" w:hAnsi="Verdana"/>
          <w:sz w:val="20"/>
          <w:szCs w:val="20"/>
        </w:rPr>
        <w:t>. Nabídková cena bude uvedena ve výši ročního pojistného, a to absolutní částkou v českých korunách.</w:t>
      </w:r>
    </w:p>
    <w:p w14:paraId="6C025BFE" w14:textId="77777777" w:rsidR="004564F8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6F48B8">
        <w:rPr>
          <w:rFonts w:ascii="Verdana" w:hAnsi="Verdana"/>
          <w:sz w:val="20"/>
          <w:szCs w:val="20"/>
        </w:rPr>
        <w:t>Nabídková cena bude stanovena jako nejvýše přípustná a překročitelná pouze při splnění podmínek stanovených zadavatelem.</w:t>
      </w:r>
    </w:p>
    <w:p w14:paraId="31902339" w14:textId="797C1BDC" w:rsidR="004564F8" w:rsidRPr="009F289C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9F289C">
        <w:rPr>
          <w:rFonts w:ascii="Verdana" w:hAnsi="Verdana"/>
          <w:sz w:val="20"/>
          <w:szCs w:val="20"/>
        </w:rPr>
        <w:t xml:space="preserve">Nabídková cena bude stanovena jako cena pevná a </w:t>
      </w:r>
      <w:r w:rsidRPr="009F289C">
        <w:rPr>
          <w:rFonts w:ascii="Verdana" w:hAnsi="Verdana" w:cs="Calibri"/>
          <w:color w:val="000000"/>
          <w:sz w:val="20"/>
          <w:szCs w:val="20"/>
        </w:rPr>
        <w:t xml:space="preserve">závazná po celou dobu realizace veřejné zakázky, včetně započtení všech vlivů (slevy, področní splátky apod.) </w:t>
      </w:r>
      <w:r w:rsidRPr="009F289C">
        <w:rPr>
          <w:rFonts w:ascii="Verdana" w:hAnsi="Verdana"/>
          <w:sz w:val="20"/>
          <w:szCs w:val="20"/>
        </w:rPr>
        <w:t>a může být měněna pouze v souvislosti se změnou právních předpisů nebo dohodou smluvních stran v závislosti na změně objektivních podmínek, které mají vliv na výši pojistného</w:t>
      </w:r>
      <w:r>
        <w:rPr>
          <w:rFonts w:ascii="Verdana" w:hAnsi="Verdana"/>
          <w:sz w:val="20"/>
          <w:szCs w:val="20"/>
        </w:rPr>
        <w:t xml:space="preserve"> (viz odst. 13.4 </w:t>
      </w:r>
      <w:r w:rsidR="00ED6275">
        <w:rPr>
          <w:rFonts w:ascii="Verdana" w:hAnsi="Verdana"/>
          <w:sz w:val="20"/>
          <w:szCs w:val="20"/>
        </w:rPr>
        <w:t>této výzvy</w:t>
      </w:r>
      <w:r>
        <w:rPr>
          <w:rFonts w:ascii="Verdana" w:hAnsi="Verdana"/>
          <w:sz w:val="20"/>
          <w:szCs w:val="20"/>
        </w:rPr>
        <w:t>)</w:t>
      </w:r>
      <w:r w:rsidRPr="009F289C">
        <w:rPr>
          <w:rFonts w:ascii="Verdana" w:hAnsi="Verdana"/>
          <w:sz w:val="20"/>
          <w:szCs w:val="20"/>
        </w:rPr>
        <w:t>.</w:t>
      </w:r>
    </w:p>
    <w:p w14:paraId="01A4169B" w14:textId="01F644EA" w:rsidR="004564F8" w:rsidRPr="00121666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6F48B8">
        <w:rPr>
          <w:rFonts w:ascii="Verdana" w:hAnsi="Verdana" w:cs="Arial Narrow"/>
          <w:sz w:val="20"/>
          <w:szCs w:val="20"/>
        </w:rPr>
        <w:t xml:space="preserve">Zadavatel si vyhrazuje možnost rozšířit rozsah pojištění zejména v případě pojištění nově nabytého a/nebo nově určeného majetku, nově vzniklých rizik, obnovy či zvýšení limitů pojistného plnění způsobem </w:t>
      </w:r>
      <w:r>
        <w:rPr>
          <w:rFonts w:ascii="Verdana" w:hAnsi="Verdana" w:cs="Arial Narrow"/>
          <w:sz w:val="20"/>
          <w:szCs w:val="20"/>
        </w:rPr>
        <w:t xml:space="preserve">výhradou změny závazku obdobně dle </w:t>
      </w:r>
      <w:proofErr w:type="spellStart"/>
      <w:r>
        <w:rPr>
          <w:rFonts w:ascii="Verdana" w:hAnsi="Verdana" w:cs="Arial Narrow"/>
          <w:sz w:val="20"/>
          <w:szCs w:val="20"/>
        </w:rPr>
        <w:t>ust</w:t>
      </w:r>
      <w:proofErr w:type="spellEnd"/>
      <w:r>
        <w:rPr>
          <w:rFonts w:ascii="Verdana" w:hAnsi="Verdana" w:cs="Arial Narrow"/>
          <w:sz w:val="20"/>
          <w:szCs w:val="20"/>
        </w:rPr>
        <w:t>. § 100 ZZVZ</w:t>
      </w:r>
      <w:r w:rsidRPr="006F48B8">
        <w:rPr>
          <w:rFonts w:ascii="Verdana" w:hAnsi="Verdana" w:cs="Arial Narrow"/>
          <w:sz w:val="20"/>
          <w:szCs w:val="20"/>
        </w:rPr>
        <w:t>.</w:t>
      </w:r>
      <w:r>
        <w:rPr>
          <w:rFonts w:ascii="Verdana" w:hAnsi="Verdana" w:cs="Arial Narrow"/>
          <w:sz w:val="20"/>
          <w:szCs w:val="20"/>
        </w:rPr>
        <w:t xml:space="preserve"> </w:t>
      </w:r>
      <w:r w:rsidRPr="00121666">
        <w:rPr>
          <w:rFonts w:ascii="Verdana" w:hAnsi="Verdana"/>
          <w:sz w:val="20"/>
          <w:szCs w:val="20"/>
        </w:rPr>
        <w:t>Veškerý nově pořízený majetek, který zadavatel nabude v průběhu pojistného období, bude automaticky zahrnut do pojištění ode dne jeho pořízení. Aktualizace pojistných částek bude v průběhu trvání pojistné</w:t>
      </w:r>
      <w:r>
        <w:rPr>
          <w:rFonts w:ascii="Verdana" w:hAnsi="Verdana"/>
          <w:sz w:val="20"/>
          <w:szCs w:val="20"/>
        </w:rPr>
        <w:t xml:space="preserve"> smlouvy prováděna pouze za </w:t>
      </w:r>
      <w:r w:rsidRPr="00121666">
        <w:rPr>
          <w:rFonts w:ascii="Verdana" w:hAnsi="Verdana"/>
          <w:sz w:val="20"/>
          <w:szCs w:val="20"/>
        </w:rPr>
        <w:t>předpokladu, že d</w:t>
      </w:r>
      <w:r>
        <w:rPr>
          <w:rFonts w:ascii="Verdana" w:hAnsi="Verdana"/>
          <w:sz w:val="20"/>
          <w:szCs w:val="20"/>
        </w:rPr>
        <w:t xml:space="preserve">ojde ke zvýšení hodnoty majetku </w:t>
      </w:r>
      <w:r w:rsidRPr="00121666">
        <w:rPr>
          <w:rFonts w:ascii="Verdana" w:hAnsi="Verdana"/>
          <w:sz w:val="20"/>
          <w:szCs w:val="20"/>
        </w:rPr>
        <w:t>o více než 15 %.</w:t>
      </w:r>
      <w:r w:rsidRPr="006F48B8">
        <w:rPr>
          <w:rFonts w:ascii="Verdana" w:hAnsi="Verdana" w:cs="Arial Narrow"/>
          <w:sz w:val="20"/>
          <w:szCs w:val="20"/>
        </w:rPr>
        <w:t xml:space="preserve"> Bude-li se jednat o změny týkající se již existujícího druhu pojištění,</w:t>
      </w:r>
      <w:r>
        <w:rPr>
          <w:rFonts w:ascii="Verdana" w:hAnsi="Verdana" w:cs="Arial Narrow"/>
          <w:sz w:val="20"/>
          <w:szCs w:val="20"/>
        </w:rPr>
        <w:t xml:space="preserve"> bude pro stanovení dodatečného </w:t>
      </w:r>
      <w:r w:rsidRPr="006F48B8">
        <w:rPr>
          <w:rFonts w:ascii="Verdana" w:hAnsi="Verdana" w:cs="Arial Narrow"/>
          <w:sz w:val="20"/>
          <w:szCs w:val="20"/>
        </w:rPr>
        <w:t>pojistného vždy použita sazba pojistného (či jiná jednotková cena) uvedená v</w:t>
      </w:r>
      <w:r w:rsidRPr="00B8613E">
        <w:rPr>
          <w:rFonts w:ascii="Verdana" w:hAnsi="Verdana" w:cs="Arial Narrow"/>
          <w:sz w:val="20"/>
          <w:szCs w:val="20"/>
        </w:rPr>
        <w:t> nabídce vybraného dodavatele</w:t>
      </w:r>
      <w:r w:rsidRPr="00121666">
        <w:rPr>
          <w:rFonts w:ascii="Verdana" w:hAnsi="Verdana" w:cs="Arial Narrow"/>
          <w:sz w:val="20"/>
          <w:szCs w:val="20"/>
        </w:rPr>
        <w:t>.</w:t>
      </w:r>
    </w:p>
    <w:p w14:paraId="0F03E412" w14:textId="65A9CD96" w:rsidR="004564F8" w:rsidRPr="004B6852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6F48B8">
        <w:rPr>
          <w:rFonts w:ascii="Verdana" w:hAnsi="Verdana" w:cs="Arial Narrow"/>
          <w:sz w:val="20"/>
          <w:szCs w:val="20"/>
        </w:rPr>
        <w:t>Dodavatel uvede v části své nabídky veškerá zvýhodnění, která poskytne zadavateli v případě uzavření pojistné smlouvy na plnění této veřejné zakázky, např. zvýšení limitů pojistného plnění, snížení spoluúčastí, bonifikace za škodný průběh apod. (včetně uvedení konkrétních detailů jednotlivých výhod, finan</w:t>
      </w:r>
      <w:r>
        <w:rPr>
          <w:rFonts w:ascii="Verdana" w:hAnsi="Verdana" w:cs="Arial Narrow"/>
          <w:sz w:val="20"/>
          <w:szCs w:val="20"/>
        </w:rPr>
        <w:t xml:space="preserve">čních částek atd.). </w:t>
      </w:r>
      <w:r w:rsidRPr="004B6852">
        <w:rPr>
          <w:rFonts w:ascii="Verdana" w:hAnsi="Verdana" w:cs="Arial Narrow"/>
          <w:sz w:val="20"/>
          <w:szCs w:val="20"/>
        </w:rPr>
        <w:t>Žádné z poskytnutých zvýhodnění nebude mít vliv na nabídkovou cenu, která bude reflektovat pouze zadavatelem požadovaná pojištění definovaná v</w:t>
      </w:r>
      <w:r>
        <w:rPr>
          <w:rFonts w:ascii="Verdana" w:hAnsi="Verdana" w:cs="Arial Narrow"/>
          <w:sz w:val="20"/>
          <w:szCs w:val="20"/>
        </w:rPr>
        <w:t xml:space="preserve"> těchto podmínkách výběrového řízení </w:t>
      </w:r>
      <w:r w:rsidRPr="004B6852">
        <w:rPr>
          <w:rFonts w:ascii="Verdana" w:hAnsi="Verdana" w:cs="Arial Narrow"/>
          <w:sz w:val="20"/>
          <w:szCs w:val="20"/>
        </w:rPr>
        <w:t>a jejich přílohách.</w:t>
      </w:r>
    </w:p>
    <w:p w14:paraId="2087841F" w14:textId="12785B6D" w:rsidR="004564F8" w:rsidRPr="00AA6EE5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AA6EE5">
        <w:rPr>
          <w:rFonts w:ascii="Verdana" w:hAnsi="Verdana"/>
          <w:sz w:val="20"/>
          <w:szCs w:val="20"/>
        </w:rPr>
        <w:t>Zadavatel jako součást výzvy předkládá Po</w:t>
      </w:r>
      <w:r>
        <w:rPr>
          <w:rFonts w:ascii="Verdana" w:hAnsi="Verdana"/>
          <w:sz w:val="20"/>
          <w:szCs w:val="20"/>
        </w:rPr>
        <w:t xml:space="preserve">jistný program jako Přílohu č. </w:t>
      </w:r>
      <w:r w:rsidR="009E4CAE">
        <w:rPr>
          <w:rFonts w:ascii="Verdana" w:hAnsi="Verdana"/>
          <w:sz w:val="20"/>
          <w:szCs w:val="20"/>
        </w:rPr>
        <w:t>4</w:t>
      </w:r>
      <w:r w:rsidRPr="00AA6EE5">
        <w:rPr>
          <w:rFonts w:ascii="Verdana" w:hAnsi="Verdana"/>
          <w:sz w:val="20"/>
          <w:szCs w:val="20"/>
        </w:rPr>
        <w:t xml:space="preserve"> v elektronické podobě. </w:t>
      </w:r>
      <w:r w:rsidRPr="00AA6EE5">
        <w:rPr>
          <w:rFonts w:ascii="Verdana" w:hAnsi="Verdana"/>
          <w:b/>
          <w:sz w:val="20"/>
          <w:szCs w:val="20"/>
          <w:u w:val="single"/>
        </w:rPr>
        <w:t>Oceněný Pojistný program bude předložen v nabídce účastníka jako příloha smlouvy</w:t>
      </w:r>
      <w:r w:rsidRPr="00AA6EE5">
        <w:rPr>
          <w:rFonts w:ascii="Verdana" w:hAnsi="Verdana"/>
          <w:sz w:val="20"/>
          <w:szCs w:val="20"/>
        </w:rPr>
        <w:t>. Oceněný Pojistný program musí být nedílnou součástí nabídky.</w:t>
      </w:r>
    </w:p>
    <w:p w14:paraId="09E455A8" w14:textId="64598B39" w:rsidR="004564F8" w:rsidRPr="002C152C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2C152C">
        <w:rPr>
          <w:rFonts w:ascii="Verdana" w:hAnsi="Verdana"/>
          <w:sz w:val="20"/>
          <w:szCs w:val="20"/>
        </w:rPr>
        <w:lastRenderedPageBreak/>
        <w:t xml:space="preserve">Účastník vyplní všechny položky uvedené v </w:t>
      </w:r>
      <w:r w:rsidR="00ED6275">
        <w:rPr>
          <w:rFonts w:ascii="Verdana" w:hAnsi="Verdana"/>
          <w:sz w:val="20"/>
          <w:szCs w:val="20"/>
        </w:rPr>
        <w:t>P</w:t>
      </w:r>
      <w:r w:rsidRPr="002C152C">
        <w:rPr>
          <w:rFonts w:ascii="Verdana" w:hAnsi="Verdana"/>
          <w:sz w:val="20"/>
          <w:szCs w:val="20"/>
        </w:rPr>
        <w:t>ojistném programu</w:t>
      </w:r>
      <w:r w:rsidR="00ED6275">
        <w:rPr>
          <w:rFonts w:ascii="Verdana" w:hAnsi="Verdana"/>
          <w:sz w:val="20"/>
          <w:szCs w:val="20"/>
        </w:rPr>
        <w:t xml:space="preserve">, </w:t>
      </w:r>
      <w:r w:rsidRPr="002C152C">
        <w:rPr>
          <w:rFonts w:ascii="Verdana" w:hAnsi="Verdana"/>
          <w:sz w:val="20"/>
          <w:szCs w:val="20"/>
        </w:rPr>
        <w:t>není oprávněn vynechat některé položky, ocenit je nulou</w:t>
      </w:r>
      <w:r w:rsidR="00ED6275">
        <w:rPr>
          <w:rFonts w:ascii="Verdana" w:hAnsi="Verdana"/>
          <w:sz w:val="20"/>
          <w:szCs w:val="20"/>
        </w:rPr>
        <w:t xml:space="preserve">, </w:t>
      </w:r>
      <w:r w:rsidRPr="002C152C">
        <w:rPr>
          <w:rFonts w:ascii="Verdana" w:hAnsi="Verdana"/>
          <w:sz w:val="20"/>
          <w:szCs w:val="20"/>
        </w:rPr>
        <w:t>rozpouštět hodnotu položky do jiných položek</w:t>
      </w:r>
      <w:r w:rsidR="00ED6275">
        <w:rPr>
          <w:rFonts w:ascii="Verdana" w:hAnsi="Verdana"/>
          <w:sz w:val="20"/>
          <w:szCs w:val="20"/>
        </w:rPr>
        <w:t xml:space="preserve"> ani</w:t>
      </w:r>
      <w:r w:rsidRPr="002C152C">
        <w:rPr>
          <w:rFonts w:ascii="Verdana" w:hAnsi="Verdana"/>
          <w:sz w:val="20"/>
          <w:szCs w:val="20"/>
        </w:rPr>
        <w:t xml:space="preserve"> </w:t>
      </w:r>
      <w:r w:rsidR="00ED6275" w:rsidRPr="00ED6275">
        <w:rPr>
          <w:rFonts w:ascii="Verdana" w:hAnsi="Verdana"/>
          <w:sz w:val="20"/>
          <w:szCs w:val="20"/>
        </w:rPr>
        <w:t>měnit jejich strukturu a členění na jednotlivé části.</w:t>
      </w:r>
      <w:r w:rsidR="00ED6275" w:rsidRPr="002C152C">
        <w:rPr>
          <w:rFonts w:ascii="Verdana" w:hAnsi="Verdana"/>
          <w:sz w:val="20"/>
          <w:szCs w:val="20"/>
        </w:rPr>
        <w:t xml:space="preserve"> </w:t>
      </w:r>
      <w:r w:rsidRPr="002C152C">
        <w:rPr>
          <w:rFonts w:ascii="Verdana" w:hAnsi="Verdana"/>
          <w:sz w:val="20"/>
          <w:szCs w:val="20"/>
        </w:rPr>
        <w:t>Porušení tohoto ustanovení bude považováno za nesplnění závazné struktury a účastník bude vyzván k objasnění své nabídky.</w:t>
      </w:r>
    </w:p>
    <w:p w14:paraId="17B6D0F2" w14:textId="77777777" w:rsidR="004564F8" w:rsidRPr="00EB6EF1" w:rsidRDefault="004564F8" w:rsidP="004564F8">
      <w:pPr>
        <w:pStyle w:val="Styl8"/>
        <w:numPr>
          <w:ilvl w:val="0"/>
          <w:numId w:val="45"/>
        </w:numPr>
        <w:spacing w:line="20" w:lineRule="atLeast"/>
        <w:ind w:left="0" w:hanging="709"/>
        <w:rPr>
          <w:rFonts w:ascii="Verdana" w:hAnsi="Verdana"/>
          <w:sz w:val="20"/>
          <w:szCs w:val="20"/>
        </w:rPr>
      </w:pPr>
      <w:r w:rsidRPr="00EB6EF1">
        <w:rPr>
          <w:rFonts w:ascii="Verdana" w:hAnsi="Verdana"/>
          <w:sz w:val="20"/>
          <w:szCs w:val="20"/>
        </w:rPr>
        <w:t>Zadavatel upozorňuje účastníka, že pověřená hodnotící komise bude dle § 113 ZZVZ posuzovat, zda podaná nabídka neobsahuje mimořádně nízkou nabídkovou cenu ve vztahu k předmětu veřejné zakázky. Jestliže hodnotící komise dospěje k závěru, že nabídka účastníka obsahuje mimořádně nízkou nabídkovou cenu ve vztahu k předmětu veřejné zakázky, vyžádá si od účastníka písemné zdůvodnění těch částí nabídky, které jsou pro výši nabídkové ceny podstatné, a bude dále postupovat v intencích § 113 ZZVZ.</w:t>
      </w:r>
    </w:p>
    <w:p w14:paraId="20E5EA38" w14:textId="3332AF87" w:rsidR="003326AD" w:rsidRPr="00671354" w:rsidRDefault="004564F8" w:rsidP="004564F8">
      <w:r w:rsidRPr="00EB6EF1">
        <w:rPr>
          <w:szCs w:val="20"/>
        </w:rPr>
        <w:t xml:space="preserve">Podkladem pro zpracování nabídkové ceny </w:t>
      </w:r>
      <w:r>
        <w:rPr>
          <w:szCs w:val="20"/>
        </w:rPr>
        <w:t>jsou tyto podmínky výběrového řízení</w:t>
      </w:r>
      <w:r w:rsidRPr="00EB6EF1">
        <w:rPr>
          <w:szCs w:val="20"/>
        </w:rPr>
        <w:t xml:space="preserve"> a dále všechny její přílohy. Požadavky na nabídkovou cenu jsou stanoveny tak, aby účastníci mohli podat vzájemně porovnatelné nabídky.</w:t>
      </w:r>
    </w:p>
    <w:p w14:paraId="2F572DD4" w14:textId="77777777" w:rsidR="00DF1F81" w:rsidRPr="00671354" w:rsidRDefault="00DF1F81" w:rsidP="00957D78">
      <w:pPr>
        <w:pStyle w:val="Nadpis1"/>
      </w:pPr>
      <w:bookmarkStart w:id="21" w:name="_Toc214365746"/>
      <w:r w:rsidRPr="00671354">
        <w:t>Podmínky a lhůta pro podání nabídek</w:t>
      </w:r>
      <w:bookmarkEnd w:id="21"/>
    </w:p>
    <w:p w14:paraId="3E85DC6E" w14:textId="77777777" w:rsidR="00DF1F81" w:rsidRPr="00671354" w:rsidRDefault="00DF1F81" w:rsidP="002A653A">
      <w:pPr>
        <w:pStyle w:val="Nadpis2"/>
      </w:pPr>
      <w:r w:rsidRPr="00671354">
        <w:t>Podmínky pro podání nabídek</w:t>
      </w:r>
    </w:p>
    <w:p w14:paraId="34107BE6" w14:textId="77777777" w:rsidR="004564F8" w:rsidRPr="00CD0A80" w:rsidRDefault="004564F8" w:rsidP="004564F8">
      <w:r w:rsidRPr="00CD0A80">
        <w:t>Účastník může v rámci této veřejné zakázky podat pouze jednu</w:t>
      </w:r>
      <w:r>
        <w:t xml:space="preserve"> písemnou nabídku v </w:t>
      </w:r>
      <w:r w:rsidRPr="00CD0A80">
        <w:t>českém nebo slovenském jazyce, a to</w:t>
      </w:r>
      <w:r>
        <w:t xml:space="preserve"> </w:t>
      </w:r>
      <w:r w:rsidRPr="00197581">
        <w:rPr>
          <w:b/>
          <w:u w:val="single"/>
        </w:rPr>
        <w:t>pouze</w:t>
      </w:r>
      <w:r w:rsidRPr="00CD0A80">
        <w:t xml:space="preserve"> v</w:t>
      </w:r>
      <w:r>
        <w:t xml:space="preserve"> </w:t>
      </w:r>
      <w:r w:rsidRPr="00CD0A80">
        <w:t>elektronické podobě</w:t>
      </w:r>
      <w:r>
        <w:t xml:space="preserve"> prostřednictvím elektronického nástroje E-ZAK</w:t>
      </w:r>
      <w:r w:rsidRPr="00CD0A80">
        <w:t>.</w:t>
      </w:r>
    </w:p>
    <w:p w14:paraId="776DFAC5" w14:textId="6E724D67" w:rsidR="004564F8" w:rsidRPr="00CD0A80" w:rsidRDefault="004564F8" w:rsidP="004564F8">
      <w:r w:rsidRPr="00CD0A80">
        <w:t>Účastník, který podal nabídku v</w:t>
      </w:r>
      <w:r w:rsidR="00DC3B9B">
        <w:t xml:space="preserve">e výběrovém </w:t>
      </w:r>
      <w:r w:rsidRPr="00CD0A80">
        <w:t xml:space="preserve">řízení, nesmí být současně poddodavatelem, jehož prostřednictvím jiný účastník v tomtéž </w:t>
      </w:r>
      <w:r w:rsidR="00DC3B9B">
        <w:t>výběrovém</w:t>
      </w:r>
      <w:r>
        <w:t xml:space="preserve"> řízení prokazuje kvalifikaci.</w:t>
      </w:r>
    </w:p>
    <w:p w14:paraId="513A5E10" w14:textId="77777777" w:rsidR="004564F8" w:rsidRPr="00CD0A80" w:rsidRDefault="004564F8" w:rsidP="004564F8">
      <w:r w:rsidRPr="00CD0A80">
        <w:t>V případě podání společné nabídky budou uvedeny identifikační údaje všech účastníků.</w:t>
      </w:r>
    </w:p>
    <w:p w14:paraId="0958DC71" w14:textId="1D271E37" w:rsidR="00973167" w:rsidRPr="00671354" w:rsidRDefault="004564F8" w:rsidP="004564F8">
      <w:r w:rsidRPr="00CD0A80">
        <w:t>Pokud účastník podá více nabídek samostatně nebo společně s dalšími účastníky</w:t>
      </w:r>
      <w:r>
        <w:t xml:space="preserve">, nebo je </w:t>
      </w:r>
      <w:r w:rsidRPr="00CD0A80">
        <w:t xml:space="preserve">poddodavatelem, jehož prostřednictvím jiný účastník v tomtéž </w:t>
      </w:r>
      <w:r w:rsidR="00DC3B9B">
        <w:t>výběrovém</w:t>
      </w:r>
      <w:r w:rsidRPr="00CD0A80">
        <w:t xml:space="preserve"> řízení prokazuje kvalifikaci, zadavatel všechny nabídky podané takovým účastníkem vyřadí. Účastníka, jehož nabídka byla vyřazena, zadavatel bezodkladně vyloučí z účasti v</w:t>
      </w:r>
      <w:r w:rsidR="00DC3B9B">
        <w:t xml:space="preserve">e výběrovém </w:t>
      </w:r>
      <w:r w:rsidRPr="00CD0A80">
        <w:t>řízení. Vyloučení účastníka včetně důvodu zadavatel bezodkladně písemně oznámí účastníkovi.</w:t>
      </w:r>
    </w:p>
    <w:p w14:paraId="310D96FF" w14:textId="77777777" w:rsidR="00DF1F81" w:rsidRPr="00671354" w:rsidRDefault="00DF1F81" w:rsidP="002A653A">
      <w:pPr>
        <w:pStyle w:val="Nadpis2"/>
      </w:pPr>
      <w:r w:rsidRPr="00671354">
        <w:t>Lhůta pro podání nabídek</w:t>
      </w:r>
    </w:p>
    <w:p w14:paraId="1F4DDE53" w14:textId="77777777" w:rsidR="004564F8" w:rsidRPr="00CD0A80" w:rsidRDefault="004564F8" w:rsidP="004564F8">
      <w:r w:rsidRPr="00CD0A80">
        <w:t>Nabídky se podávají ve lhůtě pro podání nabídek.</w:t>
      </w:r>
    </w:p>
    <w:p w14:paraId="0956C61C" w14:textId="30919B19" w:rsidR="004564F8" w:rsidRDefault="004564F8" w:rsidP="004564F8">
      <w:r w:rsidRPr="00CD0A80">
        <w:t xml:space="preserve">Lhůta pro podání nabídek končí </w:t>
      </w:r>
      <w:r w:rsidRPr="004B629E">
        <w:t>dne</w:t>
      </w:r>
      <w:r w:rsidRPr="004B629E">
        <w:rPr>
          <w:b/>
        </w:rPr>
        <w:t xml:space="preserve"> </w:t>
      </w:r>
      <w:r w:rsidR="000D7BDA" w:rsidRPr="00094AF5">
        <w:rPr>
          <w:b/>
        </w:rPr>
        <w:t>27</w:t>
      </w:r>
      <w:r w:rsidRPr="00094AF5">
        <w:rPr>
          <w:b/>
        </w:rPr>
        <w:t>.</w:t>
      </w:r>
      <w:r w:rsidR="000D7BDA" w:rsidRPr="00094AF5">
        <w:rPr>
          <w:b/>
        </w:rPr>
        <w:t>01</w:t>
      </w:r>
      <w:r>
        <w:rPr>
          <w:b/>
        </w:rPr>
        <w:t>.</w:t>
      </w:r>
      <w:r w:rsidRPr="0061337B">
        <w:rPr>
          <w:b/>
        </w:rPr>
        <w:t>202</w:t>
      </w:r>
      <w:r>
        <w:rPr>
          <w:b/>
        </w:rPr>
        <w:t>6</w:t>
      </w:r>
      <w:r w:rsidRPr="0061337B">
        <w:rPr>
          <w:b/>
        </w:rPr>
        <w:t xml:space="preserve"> v</w:t>
      </w:r>
      <w:r>
        <w:rPr>
          <w:b/>
        </w:rPr>
        <w:t xml:space="preserve"> 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60FADD3D" w14:textId="77777777" w:rsidR="004564F8" w:rsidRDefault="004564F8" w:rsidP="004564F8">
      <w:r>
        <w:t xml:space="preserve">Nabídku je možno podat pouze </w:t>
      </w:r>
      <w:r w:rsidRPr="003326AD">
        <w:t>v elektronické podobě</w:t>
      </w:r>
      <w:r>
        <w:t xml:space="preserve"> </w:t>
      </w:r>
      <w:r w:rsidRPr="003326AD">
        <w:t xml:space="preserve">prostřednictvím </w:t>
      </w:r>
      <w:r>
        <w:t>elektronického nástroje E-ZAK.</w:t>
      </w:r>
    </w:p>
    <w:p w14:paraId="641472B1" w14:textId="1306486D" w:rsidR="00973167" w:rsidRPr="00671354" w:rsidRDefault="004564F8" w:rsidP="004564F8">
      <w:r w:rsidRPr="00CD0A80">
        <w:t>Doručené nabídky zaznamená zadavatel do seznamu nabídek podle pořadového čísla nabídky, data a hodiny doručení.</w:t>
      </w:r>
    </w:p>
    <w:p w14:paraId="7F80DCA5" w14:textId="0686D762" w:rsidR="00DF1F81" w:rsidRPr="00671354" w:rsidRDefault="00DF1F81" w:rsidP="00957D78">
      <w:pPr>
        <w:pStyle w:val="Nadpis1"/>
      </w:pPr>
      <w:bookmarkStart w:id="22" w:name="_Toc214365747"/>
      <w:r w:rsidRPr="00671354">
        <w:t xml:space="preserve">Otevírání </w:t>
      </w:r>
      <w:r w:rsidR="004564F8">
        <w:t>nabídek</w:t>
      </w:r>
      <w:bookmarkEnd w:id="22"/>
    </w:p>
    <w:p w14:paraId="1CAD1BA7" w14:textId="77777777" w:rsidR="004564F8" w:rsidRPr="00F03AFF" w:rsidRDefault="004564F8" w:rsidP="004564F8">
      <w:pPr>
        <w:pStyle w:val="Normln2"/>
        <w:rPr>
          <w:rFonts w:ascii="Verdana" w:hAnsi="Verdana"/>
          <w:sz w:val="20"/>
          <w:szCs w:val="20"/>
        </w:rPr>
      </w:pPr>
      <w:r w:rsidRPr="00F03AFF">
        <w:rPr>
          <w:rFonts w:ascii="Verdana" w:hAnsi="Verdana"/>
          <w:sz w:val="20"/>
          <w:szCs w:val="20"/>
        </w:rPr>
        <w:t>Zadavatel při otevírání nabídek v elektronické podobě zkontroluje, zda nabídka byla doručena ve stanovené lhůtě, zda je autentická a zda s datovou zprávou obsahující nabídku nebylo před jejím otevřením manipulováno.</w:t>
      </w:r>
    </w:p>
    <w:p w14:paraId="380A9595" w14:textId="77777777" w:rsidR="004564F8" w:rsidRPr="00F03AFF" w:rsidRDefault="004564F8" w:rsidP="004564F8">
      <w:pPr>
        <w:rPr>
          <w:szCs w:val="20"/>
        </w:rPr>
      </w:pPr>
      <w:r w:rsidRPr="00F03AFF">
        <w:rPr>
          <w:szCs w:val="20"/>
        </w:rPr>
        <w:t xml:space="preserve">Otevírání bude probíhat </w:t>
      </w:r>
      <w:r w:rsidRPr="00F03AFF">
        <w:rPr>
          <w:b/>
          <w:szCs w:val="20"/>
          <w:u w:val="single"/>
        </w:rPr>
        <w:t>bez účasti veřejnosti</w:t>
      </w:r>
      <w:r w:rsidRPr="00F03AFF">
        <w:rPr>
          <w:szCs w:val="20"/>
        </w:rPr>
        <w:t xml:space="preserve">. Protokol o otevírání nabídek bude </w:t>
      </w:r>
      <w:r>
        <w:rPr>
          <w:szCs w:val="20"/>
        </w:rPr>
        <w:t xml:space="preserve">na vyžádání </w:t>
      </w:r>
      <w:r w:rsidRPr="00F03AFF">
        <w:rPr>
          <w:szCs w:val="20"/>
        </w:rPr>
        <w:t>účastníkům zaslán prostřednictvím elektronického nástroje E-ZAK.</w:t>
      </w:r>
    </w:p>
    <w:p w14:paraId="09194CA6" w14:textId="4651F648" w:rsidR="004564F8" w:rsidRPr="00F03AFF" w:rsidRDefault="004564F8" w:rsidP="004564F8">
      <w:r w:rsidRPr="00F03AFF">
        <w:t>Pokud nabídka nesplňuje podmínky</w:t>
      </w:r>
      <w:r>
        <w:t xml:space="preserve"> výběrového řízení</w:t>
      </w:r>
      <w:r w:rsidRPr="00F03AFF">
        <w:t xml:space="preserve">, může </w:t>
      </w:r>
      <w:r w:rsidR="00612D9D">
        <w:t>z</w:t>
      </w:r>
      <w:r w:rsidRPr="00F03AFF">
        <w:t>adavatel vyzvat dodavatele, aby takový nedostatek nabídky zhojil, a to postupem souladným s</w:t>
      </w:r>
      <w:r>
        <w:t> </w:t>
      </w:r>
      <w:r w:rsidRPr="00F03AFF">
        <w:t>t</w:t>
      </w:r>
      <w:r>
        <w:t>ěmito podmínkami výběrového řízení</w:t>
      </w:r>
      <w:r w:rsidRPr="00F03AFF">
        <w:t>.</w:t>
      </w:r>
    </w:p>
    <w:p w14:paraId="13C40820" w14:textId="327918E2" w:rsidR="003B08DB" w:rsidRPr="00671354" w:rsidRDefault="004564F8" w:rsidP="004564F8">
      <w:r w:rsidRPr="00F03AFF">
        <w:lastRenderedPageBreak/>
        <w:t>Účastník řízení, který podal nabídku, jež nesplňuje podmínky</w:t>
      </w:r>
      <w:r>
        <w:t xml:space="preserve"> výběrového řízení</w:t>
      </w:r>
      <w:r w:rsidRPr="00F03AFF">
        <w:t>, bude vyloučen pro nesplnění podmínek</w:t>
      </w:r>
      <w:r>
        <w:t xml:space="preserve"> výběrového řízení</w:t>
      </w:r>
      <w:r w:rsidRPr="00F03AFF">
        <w:t>. Zadavatel odešle</w:t>
      </w:r>
      <w:r w:rsidR="00612D9D">
        <w:t xml:space="preserve"> </w:t>
      </w:r>
      <w:r w:rsidRPr="00F03AFF">
        <w:t xml:space="preserve">účastníkovi </w:t>
      </w:r>
      <w:r w:rsidR="00DC3B9B">
        <w:t>výběrového</w:t>
      </w:r>
      <w:r w:rsidRPr="00F03AFF">
        <w:t xml:space="preserve"> řízení oznámení o jeho vyloučení s odůvodněním.</w:t>
      </w:r>
    </w:p>
    <w:p w14:paraId="6B1F0D7C" w14:textId="77777777" w:rsidR="00DF1F81" w:rsidRPr="00671354" w:rsidRDefault="00C32736" w:rsidP="00957D78">
      <w:pPr>
        <w:pStyle w:val="Nadpis1"/>
      </w:pPr>
      <w:bookmarkStart w:id="23" w:name="_Toc214365748"/>
      <w:r w:rsidRPr="00671354">
        <w:t>Komunikace se zadavatelem</w:t>
      </w:r>
      <w:bookmarkEnd w:id="23"/>
    </w:p>
    <w:p w14:paraId="16C08E2E" w14:textId="5603B9AD" w:rsidR="004564F8" w:rsidRDefault="004564F8" w:rsidP="004564F8">
      <w:pPr>
        <w:pStyle w:val="Normln2"/>
        <w:spacing w:before="0"/>
        <w:rPr>
          <w:rFonts w:ascii="Verdana" w:hAnsi="Verdana"/>
          <w:sz w:val="20"/>
          <w:szCs w:val="20"/>
        </w:rPr>
      </w:pPr>
      <w:r w:rsidRPr="00F03AFF">
        <w:rPr>
          <w:rFonts w:ascii="Verdana" w:hAnsi="Verdana"/>
          <w:sz w:val="20"/>
          <w:szCs w:val="20"/>
        </w:rPr>
        <w:t>Doručování písemností (např. oznámení o výběru dodavatele, o vyloučení účastníka,</w:t>
      </w:r>
      <w:r>
        <w:rPr>
          <w:rFonts w:ascii="Verdana" w:hAnsi="Verdana"/>
          <w:sz w:val="20"/>
          <w:szCs w:val="20"/>
        </w:rPr>
        <w:t xml:space="preserve"> o </w:t>
      </w:r>
      <w:r w:rsidRPr="00F03AFF">
        <w:rPr>
          <w:rFonts w:ascii="Verdana" w:hAnsi="Verdana"/>
          <w:sz w:val="20"/>
          <w:szCs w:val="20"/>
        </w:rPr>
        <w:t xml:space="preserve">zrušení </w:t>
      </w:r>
      <w:r w:rsidR="00DC3B9B">
        <w:rPr>
          <w:rFonts w:ascii="Verdana" w:hAnsi="Verdana"/>
          <w:sz w:val="20"/>
          <w:szCs w:val="20"/>
        </w:rPr>
        <w:t>výběrového</w:t>
      </w:r>
      <w:r w:rsidRPr="00F03AFF">
        <w:rPr>
          <w:rFonts w:ascii="Verdana" w:hAnsi="Verdana"/>
          <w:sz w:val="20"/>
          <w:szCs w:val="20"/>
        </w:rPr>
        <w:t xml:space="preserve"> řízení aj.) týkajících se zadávání této veřejné zakázky a veškerá komunikace mezi zadavatelem a účastníky bude probíhat výhradně </w:t>
      </w:r>
      <w:r w:rsidRPr="00E12249">
        <w:rPr>
          <w:rFonts w:ascii="Verdana" w:hAnsi="Verdana"/>
          <w:sz w:val="20"/>
          <w:szCs w:val="20"/>
        </w:rPr>
        <w:t>prostřednictvím elektronického nástroje E-ZAK</w:t>
      </w:r>
      <w:r w:rsidR="00612D9D">
        <w:rPr>
          <w:rFonts w:ascii="Verdana" w:hAnsi="Verdana"/>
          <w:sz w:val="20"/>
          <w:szCs w:val="20"/>
        </w:rPr>
        <w:t>.</w:t>
      </w:r>
    </w:p>
    <w:p w14:paraId="741B3ED1" w14:textId="050B7560" w:rsidR="004564F8" w:rsidRPr="00C20D88" w:rsidRDefault="004564F8" w:rsidP="004564F8">
      <w:pPr>
        <w:pStyle w:val="Normln2"/>
        <w:spacing w:before="0"/>
        <w:rPr>
          <w:rFonts w:ascii="Verdana" w:hAnsi="Verdana"/>
          <w:sz w:val="20"/>
          <w:szCs w:val="20"/>
        </w:rPr>
      </w:pPr>
      <w:r w:rsidRPr="00C20D88">
        <w:rPr>
          <w:rFonts w:ascii="Verdana" w:hAnsi="Verdana"/>
          <w:sz w:val="20"/>
          <w:szCs w:val="20"/>
        </w:rPr>
        <w:t>Pro tyto účely systém vyžaduje registraci dodavatelů</w:t>
      </w:r>
      <w:r>
        <w:rPr>
          <w:rFonts w:ascii="Verdana" w:hAnsi="Verdana"/>
          <w:sz w:val="20"/>
          <w:szCs w:val="20"/>
        </w:rPr>
        <w:t>. Podáním nabídky dodavatel se </w:t>
      </w:r>
      <w:r w:rsidRPr="00C20D88">
        <w:rPr>
          <w:rFonts w:ascii="Verdana" w:hAnsi="Verdana"/>
          <w:sz w:val="20"/>
          <w:szCs w:val="20"/>
        </w:rPr>
        <w:t>stanovenou formou komunikace a doručování souhlasí a zavazuje se poskytnout veškerou nezbytnou součinnost, zejména provést registraci v elektr</w:t>
      </w:r>
      <w:r>
        <w:rPr>
          <w:rFonts w:ascii="Verdana" w:hAnsi="Verdana"/>
          <w:sz w:val="20"/>
          <w:szCs w:val="20"/>
        </w:rPr>
        <w:t>onickém nástroji E-ZAK a </w:t>
      </w:r>
      <w:r w:rsidRPr="00C20D88">
        <w:rPr>
          <w:rFonts w:ascii="Verdana" w:hAnsi="Verdana"/>
          <w:sz w:val="20"/>
          <w:szCs w:val="20"/>
        </w:rPr>
        <w:t>pravidelně kontrolovat doručené zprávy.</w:t>
      </w:r>
    </w:p>
    <w:p w14:paraId="5445DC66" w14:textId="5C07ECFF" w:rsidR="004564F8" w:rsidRPr="00C20D88" w:rsidRDefault="004564F8" w:rsidP="004564F8">
      <w:pPr>
        <w:pStyle w:val="Normln2"/>
        <w:spacing w:before="0"/>
        <w:rPr>
          <w:rFonts w:ascii="Verdana" w:hAnsi="Verdana"/>
          <w:sz w:val="20"/>
          <w:szCs w:val="20"/>
        </w:rPr>
      </w:pPr>
      <w:r w:rsidRPr="00C20D88">
        <w:rPr>
          <w:rFonts w:ascii="Verdana" w:hAnsi="Verdana"/>
          <w:sz w:val="20"/>
          <w:szCs w:val="20"/>
        </w:rPr>
        <w:t xml:space="preserve">Další informace nezbytné pro registraci dodavatele v elektronickém nástroji E-ZAK jsou uvedeny v uživatelské příručce na adrese: </w:t>
      </w:r>
      <w:hyperlink r:id="rId19" w:history="1">
        <w:r w:rsidR="00612D9D" w:rsidRPr="0063722A">
          <w:rPr>
            <w:rStyle w:val="Hypertextovodkaz"/>
            <w:rFonts w:ascii="Verdana" w:hAnsi="Verdana" w:cs="Arial"/>
            <w:sz w:val="20"/>
            <w:szCs w:val="20"/>
          </w:rPr>
          <w:t>https://ezak.cz/manualy</w:t>
        </w:r>
      </w:hyperlink>
      <w:r w:rsidR="00612D9D">
        <w:rPr>
          <w:rFonts w:ascii="Verdana" w:hAnsi="Verdana"/>
          <w:sz w:val="20"/>
          <w:szCs w:val="20"/>
        </w:rPr>
        <w:t>.</w:t>
      </w:r>
    </w:p>
    <w:p w14:paraId="215535FA" w14:textId="1725144B" w:rsidR="003B08DB" w:rsidRPr="00671354" w:rsidRDefault="004564F8" w:rsidP="004564F8">
      <w:r w:rsidRPr="00C20D88">
        <w:rPr>
          <w:szCs w:val="20"/>
        </w:rPr>
        <w:t>Pro vyloučení všech pochybností zadavatel uvádí, že doručením prostřednictvím elektronického nástroje E-ZAK je okamžik přijetí datové zprávy na elektronickou adresu adresáta či adresátů datové zprávy v elektronickém nástroji E-ZAK.</w:t>
      </w:r>
    </w:p>
    <w:p w14:paraId="5D0468E6" w14:textId="77777777" w:rsidR="00C32736" w:rsidRPr="00671354" w:rsidRDefault="00C32736" w:rsidP="00957D78">
      <w:pPr>
        <w:pStyle w:val="Nadpis1"/>
      </w:pPr>
      <w:bookmarkStart w:id="24" w:name="_Toc214365749"/>
      <w:r w:rsidRPr="00671354">
        <w:t>Závěrečná ustanovení, práva a výhrady zadavatele</w:t>
      </w:r>
      <w:bookmarkEnd w:id="24"/>
    </w:p>
    <w:p w14:paraId="4FC70E12" w14:textId="227399FD" w:rsidR="00E145F9" w:rsidRDefault="00E145F9" w:rsidP="00600A4E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0D39186C" w14:textId="54A818AA" w:rsidR="00600A4E" w:rsidRPr="00671354" w:rsidRDefault="00600A4E" w:rsidP="00600A4E">
      <w:r w:rsidRPr="00671354">
        <w:t>Zadavatel si vyhrazuje právo podanou nabídku účastníkovi nevracet. Zadavatel účastníkům nehradí náklady spojené s účastí v tomto výběrovém řízení.</w:t>
      </w:r>
    </w:p>
    <w:p w14:paraId="626AAB0B" w14:textId="77777777" w:rsidR="00600A4E" w:rsidRPr="00671354" w:rsidRDefault="00600A4E" w:rsidP="00600A4E">
      <w:r w:rsidRPr="00671354">
        <w:t>Zadavatel si vyhrazuje právo zrušit výběrové řízení bez udání důvodu nebo právo všechny podané nabídky odmítnout.</w:t>
      </w:r>
    </w:p>
    <w:p w14:paraId="3130AD99" w14:textId="77777777" w:rsidR="00600A4E" w:rsidRPr="00671354" w:rsidRDefault="00600A4E" w:rsidP="00600A4E">
      <w:r w:rsidRPr="00671354">
        <w:t xml:space="preserve">Zadavatel </w:t>
      </w:r>
      <w:r w:rsidRPr="009B7DD4">
        <w:rPr>
          <w:b/>
        </w:rPr>
        <w:t>nepřipouští varianty nabídek</w:t>
      </w:r>
      <w:r w:rsidRPr="00671354">
        <w:t>.</w:t>
      </w:r>
    </w:p>
    <w:p w14:paraId="33808FF0" w14:textId="77777777" w:rsidR="00600A4E" w:rsidRPr="00671354" w:rsidRDefault="00600A4E" w:rsidP="00600A4E">
      <w:r w:rsidRPr="00671354"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61EBD5B" w14:textId="77777777" w:rsidR="003837AC" w:rsidRDefault="004638DE" w:rsidP="00600A4E">
      <w:pPr>
        <w:rPr>
          <w:b/>
        </w:rPr>
      </w:pPr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4533DBA" w14:textId="77777777" w:rsidR="00C20A88" w:rsidRDefault="00C20A88" w:rsidP="00600A4E">
      <w:r w:rsidRPr="007413FB">
        <w:rPr>
          <w:szCs w:val="20"/>
        </w:rPr>
        <w:t>Zadavatel uvádí v</w:t>
      </w:r>
      <w:r>
        <w:rPr>
          <w:szCs w:val="20"/>
        </w:rPr>
        <w:t xml:space="preserve"> </w:t>
      </w:r>
      <w:r w:rsidRPr="007413FB">
        <w:rPr>
          <w:szCs w:val="20"/>
        </w:rPr>
        <w:t xml:space="preserve">souladu, že pokud jsou </w:t>
      </w:r>
      <w:r>
        <w:rPr>
          <w:szCs w:val="20"/>
        </w:rPr>
        <w:t>v podmínkách výběrového řízení</w:t>
      </w:r>
      <w:r w:rsidRPr="007413FB">
        <w:rPr>
          <w:szCs w:val="20"/>
        </w:rPr>
        <w:t xml:space="preserve">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4873D11A" w14:textId="77777777" w:rsidR="00600A4E" w:rsidRPr="00A01102" w:rsidRDefault="00600A4E" w:rsidP="00600A4E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E29A5B1" w14:textId="77777777" w:rsidR="00600A4E" w:rsidRDefault="00600A4E" w:rsidP="00600A4E">
      <w:r>
        <w:lastRenderedPageBreak/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3EC64993" w14:textId="77777777" w:rsidR="00600A4E" w:rsidRDefault="00600A4E" w:rsidP="00600A4E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80150D0" w14:textId="7CA1F8FC" w:rsidR="00600A4E" w:rsidRPr="00433471" w:rsidRDefault="00600A4E" w:rsidP="00600A4E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D26BCA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45860F2F" w14:textId="3F51218F" w:rsidR="00600A4E" w:rsidRDefault="00600A4E" w:rsidP="00600A4E">
      <w:r>
        <w:t>Veškerá komunikace se zadavatelem bude probíhat výhradně v českém nebo slovenském jazyce.</w:t>
      </w:r>
    </w:p>
    <w:p w14:paraId="43014CD3" w14:textId="77777777" w:rsidR="00600A4E" w:rsidRDefault="00600A4E" w:rsidP="00600A4E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23ED10D2" w14:textId="77777777" w:rsidR="00600A4E" w:rsidRDefault="00600A4E" w:rsidP="00600A4E">
      <w:r>
        <w:t xml:space="preserve">Zadavatel </w:t>
      </w:r>
      <w:r w:rsidRPr="00D434C8">
        <w:rPr>
          <w:b/>
        </w:rPr>
        <w:t>nepřipouští podání nabídek na částečné plnění předmětu veřejné zakázky</w:t>
      </w:r>
      <w:r>
        <w:t>.</w:t>
      </w:r>
    </w:p>
    <w:p w14:paraId="58AB1DC8" w14:textId="77777777" w:rsidR="00600A4E" w:rsidRDefault="00600A4E" w:rsidP="00600A4E">
      <w:r>
        <w:t>V případě shodné ekonomické výhodnosti nabídek více účastníků bude vybrán dodavatel losem.</w:t>
      </w:r>
    </w:p>
    <w:p w14:paraId="37A26529" w14:textId="77777777" w:rsidR="00600A4E" w:rsidRDefault="00600A4E" w:rsidP="00600A4E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6C0FB820" w14:textId="77777777" w:rsidR="00600A4E" w:rsidRDefault="00600A4E" w:rsidP="00600A4E">
      <w:r>
        <w:t xml:space="preserve">Při nesplnění podmínek tohoto výběrového řízení si zadavatel vyhrazuje právo nabídku </w:t>
      </w:r>
      <w:r w:rsidR="00316564">
        <w:t>účastníka</w:t>
      </w:r>
      <w:r>
        <w:t xml:space="preserve"> nezahrnout do hodnocení nabídek.</w:t>
      </w:r>
    </w:p>
    <w:p w14:paraId="3217827C" w14:textId="77777777" w:rsidR="00600A4E" w:rsidRDefault="00600A4E" w:rsidP="00600A4E">
      <w:r>
        <w:t>Účastník nemá právo podávat námitky.</w:t>
      </w:r>
    </w:p>
    <w:p w14:paraId="4AF5A763" w14:textId="77777777" w:rsidR="003B08DB" w:rsidRPr="003B08DB" w:rsidRDefault="00600A4E" w:rsidP="00600A4E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4D2360B9" w14:textId="77777777" w:rsidR="00C32736" w:rsidRDefault="00C32736" w:rsidP="00957D78">
      <w:pPr>
        <w:pStyle w:val="Nadpis1"/>
      </w:pPr>
      <w:bookmarkStart w:id="25" w:name="_Toc214365750"/>
      <w:r>
        <w:t>Seznam příloh</w:t>
      </w:r>
      <w:bookmarkEnd w:id="25"/>
    </w:p>
    <w:p w14:paraId="6142784A" w14:textId="2448E81C" w:rsidR="003B08DB" w:rsidRPr="00F56341" w:rsidRDefault="003B08DB" w:rsidP="000D2CD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</w:t>
      </w:r>
      <w:r w:rsidRPr="00F56341">
        <w:t xml:space="preserve">č. 1 </w:t>
      </w:r>
      <w:r w:rsidR="0045747F" w:rsidRPr="00F56341">
        <w:t>–</w:t>
      </w:r>
      <w:r w:rsidRPr="00F56341">
        <w:t xml:space="preserve"> Krycí list nabídky</w:t>
      </w:r>
    </w:p>
    <w:p w14:paraId="4E0D9BFA" w14:textId="3015D0F4" w:rsidR="003B08DB" w:rsidRPr="00F56341" w:rsidRDefault="003B08DB" w:rsidP="000D2CDC">
      <w:pPr>
        <w:pStyle w:val="Odstavecseseznamem"/>
        <w:numPr>
          <w:ilvl w:val="0"/>
          <w:numId w:val="10"/>
        </w:numPr>
        <w:ind w:left="426" w:hanging="426"/>
        <w:contextualSpacing w:val="0"/>
      </w:pPr>
      <w:r w:rsidRPr="00F56341">
        <w:t xml:space="preserve">Příloha č. 2 </w:t>
      </w:r>
      <w:r w:rsidR="0045747F" w:rsidRPr="00F56341">
        <w:t>–</w:t>
      </w:r>
      <w:r w:rsidRPr="00F56341">
        <w:t xml:space="preserve"> </w:t>
      </w:r>
      <w:r w:rsidR="004B411B" w:rsidRPr="00F56341">
        <w:t xml:space="preserve">Pojistný </w:t>
      </w:r>
      <w:proofErr w:type="gramStart"/>
      <w:r w:rsidR="004B411B" w:rsidRPr="00F56341">
        <w:t>program - komentář</w:t>
      </w:r>
      <w:proofErr w:type="gramEnd"/>
    </w:p>
    <w:p w14:paraId="549FB75C" w14:textId="343F0CD2" w:rsidR="00292EE8" w:rsidRDefault="003B08DB" w:rsidP="00292EE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3 </w:t>
      </w:r>
      <w:r w:rsidR="0045747F">
        <w:t>–</w:t>
      </w:r>
      <w:r>
        <w:t xml:space="preserve"> </w:t>
      </w:r>
      <w:r w:rsidR="002F0BAB">
        <w:t>Konsolidované čestné prohlášení k prokázání kvalifikace, o úplnosti a pravdivosti nabídky a souhlas s podmínkami výběrového řízení</w:t>
      </w:r>
    </w:p>
    <w:p w14:paraId="701CC907" w14:textId="1C0756E4" w:rsidR="00BA2DD6" w:rsidRDefault="00292EE8" w:rsidP="004B411B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</w:t>
      </w:r>
      <w:r w:rsidR="002613B3">
        <w:t xml:space="preserve"> </w:t>
      </w:r>
      <w:r>
        <w:t xml:space="preserve">4 – </w:t>
      </w:r>
      <w:r w:rsidR="004B411B">
        <w:t xml:space="preserve">Pojistný program </w:t>
      </w:r>
      <w:r w:rsidR="00113143">
        <w:t>–</w:t>
      </w:r>
      <w:r w:rsidR="004B411B">
        <w:t xml:space="preserve"> </w:t>
      </w:r>
      <w:r w:rsidR="00113143">
        <w:t>tabulka k doplnění</w:t>
      </w:r>
    </w:p>
    <w:p w14:paraId="1B58F37A" w14:textId="77777777" w:rsidR="00C32736" w:rsidRPr="00C32736" w:rsidRDefault="00C20A88" w:rsidP="00BA0BF4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lastRenderedPageBreak/>
        <w:t>V Kladrubech nad Labem dne</w:t>
      </w:r>
      <w:r w:rsidR="009D0B98">
        <w:rPr>
          <w:szCs w:val="20"/>
        </w:rPr>
        <w:t xml:space="preserve"> </w:t>
      </w:r>
    </w:p>
    <w:p w14:paraId="3E815262" w14:textId="77777777" w:rsidR="00596E76" w:rsidRPr="00C32736" w:rsidRDefault="00596E76" w:rsidP="00596E76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024242E3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426824">
        <w:rPr>
          <w:szCs w:val="20"/>
        </w:rPr>
        <w:br/>
        <w:t>ředitel</w:t>
      </w:r>
    </w:p>
    <w:sectPr w:rsidR="00C32736" w:rsidRPr="00C32736" w:rsidSect="00655BEC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2A44" w14:textId="77777777" w:rsidR="00E37B55" w:rsidRDefault="00E37B55" w:rsidP="00420B2A">
      <w:pPr>
        <w:spacing w:after="0"/>
      </w:pPr>
      <w:r>
        <w:separator/>
      </w:r>
    </w:p>
  </w:endnote>
  <w:endnote w:type="continuationSeparator" w:id="0">
    <w:p w14:paraId="4F2DC1A6" w14:textId="77777777" w:rsidR="00E37B55" w:rsidRDefault="00E37B55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0D81" w14:textId="77777777" w:rsidR="004F6958" w:rsidRDefault="004F6958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7E4802F9" wp14:editId="2BA71095">
          <wp:simplePos x="0" y="0"/>
          <wp:positionH relativeFrom="column">
            <wp:posOffset>-600075</wp:posOffset>
          </wp:positionH>
          <wp:positionV relativeFrom="paragraph">
            <wp:posOffset>199390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CC9B6" w14:textId="77777777" w:rsidR="004F6958" w:rsidRPr="00C32736" w:rsidRDefault="004F6958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B73EB8">
              <w:rPr>
                <w:b/>
                <w:bCs/>
                <w:noProof/>
                <w:sz w:val="16"/>
                <w:szCs w:val="20"/>
              </w:rPr>
              <w:t>14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137946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sdt>
        <w:sdtPr>
          <w:rPr>
            <w:color w:val="595959" w:themeColor="text1" w:themeTint="A6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7CA11849" w14:textId="77777777" w:rsidR="004F6958" w:rsidRDefault="004F6958" w:rsidP="00437D3C">
            <w:pPr>
              <w:pStyle w:val="Zpat"/>
              <w:jc w:val="right"/>
            </w:pPr>
            <w:r w:rsidRPr="00EA019C">
              <w:rPr>
                <w:color w:val="595959" w:themeColor="text1" w:themeTint="A6"/>
                <w:sz w:val="16"/>
                <w:szCs w:val="16"/>
              </w:rPr>
              <w:t xml:space="preserve">Stránka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PAGE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2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EA019C">
              <w:rPr>
                <w:color w:val="595959" w:themeColor="text1" w:themeTint="A6"/>
                <w:sz w:val="16"/>
                <w:szCs w:val="16"/>
              </w:rPr>
              <w:t xml:space="preserve"> z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NUMPAGES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595959" w:themeColor="text1" w:themeTint="A6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E05D5AA" w14:textId="77777777" w:rsidR="004F6958" w:rsidRPr="00EA019C" w:rsidRDefault="004F6958" w:rsidP="00C32736">
            <w:pPr>
              <w:pStyle w:val="Zpat"/>
              <w:jc w:val="right"/>
              <w:rPr>
                <w:color w:val="595959" w:themeColor="text1" w:themeTint="A6"/>
              </w:rPr>
            </w:pPr>
            <w:r w:rsidRPr="00EA019C">
              <w:rPr>
                <w:color w:val="595959" w:themeColor="text1" w:themeTint="A6"/>
                <w:sz w:val="16"/>
                <w:szCs w:val="16"/>
              </w:rPr>
              <w:t xml:space="preserve">Stránka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PAGE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EA019C">
              <w:rPr>
                <w:color w:val="595959" w:themeColor="text1" w:themeTint="A6"/>
                <w:sz w:val="16"/>
                <w:szCs w:val="16"/>
              </w:rPr>
              <w:t xml:space="preserve"> z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NUMPAGES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13C3" w14:textId="77777777" w:rsidR="00E37B55" w:rsidRDefault="00E37B55" w:rsidP="00420B2A">
      <w:pPr>
        <w:spacing w:after="0"/>
      </w:pPr>
      <w:r>
        <w:separator/>
      </w:r>
    </w:p>
  </w:footnote>
  <w:footnote w:type="continuationSeparator" w:id="0">
    <w:p w14:paraId="314570B4" w14:textId="77777777" w:rsidR="00E37B55" w:rsidRDefault="00E37B55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9321" w14:textId="77777777" w:rsidR="004F6958" w:rsidRDefault="00520F0B">
    <w:pPr>
      <w:pStyle w:val="Zhlav"/>
    </w:pPr>
    <w:r>
      <w:rPr>
        <w:noProof/>
        <w:lang w:eastAsia="cs-CZ"/>
      </w:rPr>
      <w:pict w14:anchorId="600AA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F150" w14:textId="77777777" w:rsidR="004F6958" w:rsidRPr="002C4591" w:rsidRDefault="00520F0B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14D37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F6958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0F16185E" wp14:editId="5DB184FF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6E74" w14:textId="77777777" w:rsidR="004F6958" w:rsidRDefault="00520F0B">
    <w:pPr>
      <w:pStyle w:val="Zhlav"/>
    </w:pPr>
    <w:r>
      <w:rPr>
        <w:noProof/>
        <w:lang w:eastAsia="cs-CZ"/>
      </w:rPr>
      <w:pict w14:anchorId="4333D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B370" w14:textId="77777777" w:rsidR="004F6958" w:rsidRDefault="00520F0B">
    <w:pPr>
      <w:pStyle w:val="Zhlav"/>
    </w:pPr>
    <w:r>
      <w:rPr>
        <w:noProof/>
        <w:lang w:eastAsia="cs-CZ"/>
      </w:rPr>
      <w:pict w14:anchorId="37B21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38B3" w14:textId="3E2D9171" w:rsidR="004F6958" w:rsidRPr="00C547CA" w:rsidRDefault="00520F0B" w:rsidP="00C547CA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595959" w:themeColor="text1" w:themeTint="A6"/>
        <w:highlight w:val="yellow"/>
        <w:lang w:eastAsia="cs-CZ"/>
      </w:rPr>
      <w:pict w14:anchorId="47290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A653A">
      <w:rPr>
        <w:bCs/>
        <w:szCs w:val="20"/>
      </w:rPr>
      <w:t xml:space="preserve">Pojištění majetku a odpovědnosti pro rok </w:t>
    </w:r>
    <w:proofErr w:type="gramStart"/>
    <w:r w:rsidR="002A653A">
      <w:rPr>
        <w:bCs/>
        <w:szCs w:val="20"/>
      </w:rPr>
      <w:t>2026 – 2030</w:t>
    </w:r>
    <w:proofErr w:type="gramEnd"/>
    <w:r w:rsidR="002A653A">
      <w:rPr>
        <w:bCs/>
        <w:szCs w:val="20"/>
      </w:rPr>
      <w:tab/>
    </w:r>
    <w:r w:rsidR="00C547CA">
      <w:rPr>
        <w:bCs/>
        <w:szCs w:val="20"/>
      </w:rPr>
      <w:tab/>
    </w:r>
    <w:r w:rsidR="00E46586">
      <w:rPr>
        <w:bCs/>
        <w:szCs w:val="20"/>
      </w:rPr>
      <w:tab/>
    </w:r>
    <w:r w:rsidR="00E46586">
      <w:rPr>
        <w:bCs/>
        <w:szCs w:val="20"/>
      </w:rPr>
      <w:tab/>
    </w:r>
    <w:r w:rsidR="004F6958" w:rsidRPr="00EA019C">
      <w:rPr>
        <w:color w:val="595959" w:themeColor="text1" w:themeTint="A6"/>
      </w:rPr>
      <w:t xml:space="preserve">VZ </w:t>
    </w:r>
    <w:r w:rsidR="002A653A">
      <w:rPr>
        <w:color w:val="595959" w:themeColor="text1" w:themeTint="A6"/>
      </w:rPr>
      <w:t>38</w:t>
    </w:r>
    <w:r w:rsidR="001142D3">
      <w:rPr>
        <w:color w:val="595959" w:themeColor="text1" w:themeTint="A6"/>
      </w:rPr>
      <w:t>/202</w:t>
    </w:r>
    <w:r w:rsidR="00E84739">
      <w:rPr>
        <w:color w:val="595959" w:themeColor="text1" w:themeTint="A6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E1D" w14:textId="77777777" w:rsidR="004F6958" w:rsidRDefault="00520F0B">
    <w:pPr>
      <w:pStyle w:val="Zhlav"/>
    </w:pPr>
    <w:r>
      <w:rPr>
        <w:noProof/>
        <w:lang w:eastAsia="cs-CZ"/>
      </w:rPr>
      <w:pict w14:anchorId="0CD91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AE85" w14:textId="77777777" w:rsidR="004F6958" w:rsidRDefault="00520F0B">
    <w:pPr>
      <w:pStyle w:val="Zhlav"/>
    </w:pPr>
    <w:r>
      <w:rPr>
        <w:noProof/>
        <w:lang w:eastAsia="cs-CZ"/>
      </w:rPr>
      <w:pict w14:anchorId="7F834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F971" w14:textId="79F80D05" w:rsidR="004F6958" w:rsidRPr="00EA019C" w:rsidRDefault="00520F0B" w:rsidP="003B369A">
    <w:pPr>
      <w:pStyle w:val="Zhlav"/>
      <w:jc w:val="left"/>
      <w:rPr>
        <w:color w:val="595959" w:themeColor="text1" w:themeTint="A6"/>
      </w:rPr>
    </w:pPr>
    <w:r>
      <w:rPr>
        <w:noProof/>
        <w:color w:val="595959" w:themeColor="text1" w:themeTint="A6"/>
        <w:szCs w:val="20"/>
        <w:highlight w:val="yellow"/>
        <w:lang w:eastAsia="cs-CZ"/>
      </w:rPr>
      <w:pict w14:anchorId="69CD3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A653A" w:rsidRPr="002A653A">
      <w:rPr>
        <w:bCs/>
        <w:szCs w:val="20"/>
      </w:rPr>
      <w:t xml:space="preserve"> </w:t>
    </w:r>
    <w:r w:rsidR="002A653A">
      <w:rPr>
        <w:bCs/>
        <w:szCs w:val="20"/>
      </w:rPr>
      <w:t xml:space="preserve">Pojištění majetku a odpovědnosti pro rok </w:t>
    </w:r>
    <w:proofErr w:type="gramStart"/>
    <w:r w:rsidR="002A653A">
      <w:rPr>
        <w:bCs/>
        <w:szCs w:val="20"/>
      </w:rPr>
      <w:t>2026 – 2030</w:t>
    </w:r>
    <w:proofErr w:type="gramEnd"/>
    <w:r w:rsidR="003B369A">
      <w:rPr>
        <w:bCs/>
        <w:szCs w:val="20"/>
      </w:rPr>
      <w:tab/>
    </w:r>
    <w:r w:rsidR="003B369A" w:rsidRPr="00EA019C">
      <w:rPr>
        <w:color w:val="595959" w:themeColor="text1" w:themeTint="A6"/>
      </w:rPr>
      <w:t xml:space="preserve">VZ </w:t>
    </w:r>
    <w:r w:rsidR="002A653A">
      <w:rPr>
        <w:color w:val="595959" w:themeColor="text1" w:themeTint="A6"/>
      </w:rPr>
      <w:t>38</w:t>
    </w:r>
    <w:r w:rsidR="003B369A">
      <w:rPr>
        <w:color w:val="595959" w:themeColor="text1" w:themeTint="A6"/>
      </w:rPr>
      <w:t>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7EB6" w14:textId="56A22B23" w:rsidR="004F6958" w:rsidRDefault="00520F0B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006E1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F6958" w:rsidRPr="00E7387D">
      <w:rPr>
        <w:noProof/>
        <w:color w:val="7F7F7F" w:themeColor="text1" w:themeTint="80"/>
        <w:szCs w:val="20"/>
        <w:lang w:eastAsia="cs-CZ"/>
      </w:rPr>
      <w:t>XXXXXX</w:t>
    </w:r>
    <w:r w:rsidR="00090F67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19A81454" wp14:editId="005BA3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0629"/>
    <w:multiLevelType w:val="hybridMultilevel"/>
    <w:tmpl w:val="21203878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0F71"/>
    <w:multiLevelType w:val="hybridMultilevel"/>
    <w:tmpl w:val="083EA0A2"/>
    <w:lvl w:ilvl="0" w:tplc="F7369292">
      <w:start w:val="1"/>
      <w:numFmt w:val="decimal"/>
      <w:pStyle w:val="Styl11"/>
      <w:lvlText w:val="11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1A8D4249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2A93"/>
    <w:multiLevelType w:val="multilevel"/>
    <w:tmpl w:val="610EBC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6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22180"/>
    <w:multiLevelType w:val="hybridMultilevel"/>
    <w:tmpl w:val="20A483D2"/>
    <w:lvl w:ilvl="0" w:tplc="B4688ACC">
      <w:start w:val="1"/>
      <w:numFmt w:val="decimal"/>
      <w:pStyle w:val="Styl5"/>
      <w:lvlText w:val="5.%1"/>
      <w:lvlJc w:val="left"/>
      <w:pPr>
        <w:ind w:left="153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542721B3"/>
    <w:multiLevelType w:val="hybridMultilevel"/>
    <w:tmpl w:val="C4B2528A"/>
    <w:lvl w:ilvl="0" w:tplc="CEA63392">
      <w:start w:val="1"/>
      <w:numFmt w:val="decimal"/>
      <w:pStyle w:val="Styl8"/>
      <w:lvlText w:val="13.%1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2E75B2"/>
    <w:multiLevelType w:val="hybridMultilevel"/>
    <w:tmpl w:val="8A985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B4E38"/>
    <w:multiLevelType w:val="hybridMultilevel"/>
    <w:tmpl w:val="E144A2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E616F89"/>
    <w:multiLevelType w:val="hybridMultilevel"/>
    <w:tmpl w:val="69381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709A9"/>
    <w:multiLevelType w:val="hybridMultilevel"/>
    <w:tmpl w:val="4A864A20"/>
    <w:lvl w:ilvl="0" w:tplc="7690E8C4"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4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C0793"/>
    <w:multiLevelType w:val="hybridMultilevel"/>
    <w:tmpl w:val="94D2D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8377469">
    <w:abstractNumId w:val="13"/>
  </w:num>
  <w:num w:numId="2" w16cid:durableId="278729892">
    <w:abstractNumId w:val="13"/>
  </w:num>
  <w:num w:numId="3" w16cid:durableId="1752265868">
    <w:abstractNumId w:val="13"/>
  </w:num>
  <w:num w:numId="4" w16cid:durableId="433719573">
    <w:abstractNumId w:val="5"/>
  </w:num>
  <w:num w:numId="5" w16cid:durableId="936060609">
    <w:abstractNumId w:val="8"/>
  </w:num>
  <w:num w:numId="6" w16cid:durableId="1151747071">
    <w:abstractNumId w:val="31"/>
  </w:num>
  <w:num w:numId="7" w16cid:durableId="954219309">
    <w:abstractNumId w:val="38"/>
  </w:num>
  <w:num w:numId="8" w16cid:durableId="1435859732">
    <w:abstractNumId w:val="27"/>
  </w:num>
  <w:num w:numId="9" w16cid:durableId="1171411839">
    <w:abstractNumId w:val="10"/>
  </w:num>
  <w:num w:numId="10" w16cid:durableId="1083603861">
    <w:abstractNumId w:val="16"/>
  </w:num>
  <w:num w:numId="11" w16cid:durableId="541017801">
    <w:abstractNumId w:val="34"/>
  </w:num>
  <w:num w:numId="12" w16cid:durableId="632098568">
    <w:abstractNumId w:val="22"/>
  </w:num>
  <w:num w:numId="13" w16cid:durableId="1097599385">
    <w:abstractNumId w:val="11"/>
  </w:num>
  <w:num w:numId="14" w16cid:durableId="168520088">
    <w:abstractNumId w:val="9"/>
  </w:num>
  <w:num w:numId="15" w16cid:durableId="2025087096">
    <w:abstractNumId w:val="7"/>
  </w:num>
  <w:num w:numId="16" w16cid:durableId="681127632">
    <w:abstractNumId w:val="33"/>
  </w:num>
  <w:num w:numId="17" w16cid:durableId="1084258718">
    <w:abstractNumId w:val="15"/>
  </w:num>
  <w:num w:numId="18" w16cid:durableId="1974945691">
    <w:abstractNumId w:val="35"/>
  </w:num>
  <w:num w:numId="19" w16cid:durableId="233855297">
    <w:abstractNumId w:val="12"/>
  </w:num>
  <w:num w:numId="20" w16cid:durableId="1732658809">
    <w:abstractNumId w:val="29"/>
  </w:num>
  <w:num w:numId="21" w16cid:durableId="286283669">
    <w:abstractNumId w:val="20"/>
  </w:num>
  <w:num w:numId="22" w16cid:durableId="2037534712">
    <w:abstractNumId w:val="28"/>
  </w:num>
  <w:num w:numId="23" w16cid:durableId="1100492610">
    <w:abstractNumId w:val="32"/>
  </w:num>
  <w:num w:numId="24" w16cid:durableId="1108432990">
    <w:abstractNumId w:val="14"/>
  </w:num>
  <w:num w:numId="25" w16cid:durableId="24331955">
    <w:abstractNumId w:val="2"/>
  </w:num>
  <w:num w:numId="26" w16cid:durableId="1995721963">
    <w:abstractNumId w:val="37"/>
  </w:num>
  <w:num w:numId="27" w16cid:durableId="1014724674">
    <w:abstractNumId w:val="26"/>
  </w:num>
  <w:num w:numId="28" w16cid:durableId="1666473198">
    <w:abstractNumId w:val="24"/>
  </w:num>
  <w:num w:numId="29" w16cid:durableId="1935556875">
    <w:abstractNumId w:val="0"/>
  </w:num>
  <w:num w:numId="30" w16cid:durableId="1944797316">
    <w:abstractNumId w:val="36"/>
  </w:num>
  <w:num w:numId="31" w16cid:durableId="1640569869">
    <w:abstractNumId w:val="30"/>
  </w:num>
  <w:num w:numId="32" w16cid:durableId="1021971621">
    <w:abstractNumId w:val="19"/>
  </w:num>
  <w:num w:numId="33" w16cid:durableId="4602413">
    <w:abstractNumId w:val="25"/>
  </w:num>
  <w:num w:numId="34" w16cid:durableId="249849434">
    <w:abstractNumId w:val="21"/>
  </w:num>
  <w:num w:numId="35" w16cid:durableId="1002977023">
    <w:abstractNumId w:val="39"/>
  </w:num>
  <w:num w:numId="36" w16cid:durableId="2030133606">
    <w:abstractNumId w:val="6"/>
  </w:num>
  <w:num w:numId="37" w16cid:durableId="43530498">
    <w:abstractNumId w:val="1"/>
  </w:num>
  <w:num w:numId="38" w16cid:durableId="633563981">
    <w:abstractNumId w:val="13"/>
  </w:num>
  <w:num w:numId="39" w16cid:durableId="1549994831">
    <w:abstractNumId w:val="23"/>
  </w:num>
  <w:num w:numId="40" w16cid:durableId="1282414968">
    <w:abstractNumId w:val="3"/>
  </w:num>
  <w:num w:numId="41" w16cid:durableId="13404239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19129447">
    <w:abstractNumId w:val="17"/>
  </w:num>
  <w:num w:numId="43" w16cid:durableId="504513802">
    <w:abstractNumId w:val="4"/>
  </w:num>
  <w:num w:numId="44" w16cid:durableId="1389960830">
    <w:abstractNumId w:val="18"/>
  </w:num>
  <w:num w:numId="45" w16cid:durableId="882864423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9ntwl7fTyTNsszRnxs1W5yX0JZAGQ8/TLMGqLywFTLdAs4XhqOLymy2IyO5EqG9Df39pl9RM9Jrzw5JXAjqRA==" w:salt="hLdIKHAI8fRlrmRXYxN9sw==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1"/>
    <w:rsid w:val="0000325F"/>
    <w:rsid w:val="00005A1D"/>
    <w:rsid w:val="00005C0B"/>
    <w:rsid w:val="00006BDE"/>
    <w:rsid w:val="00006FFA"/>
    <w:rsid w:val="0002061D"/>
    <w:rsid w:val="00021820"/>
    <w:rsid w:val="000351DB"/>
    <w:rsid w:val="00035635"/>
    <w:rsid w:val="00037410"/>
    <w:rsid w:val="0004127B"/>
    <w:rsid w:val="00043308"/>
    <w:rsid w:val="000435A1"/>
    <w:rsid w:val="00044FD9"/>
    <w:rsid w:val="00045211"/>
    <w:rsid w:val="00045231"/>
    <w:rsid w:val="00047A36"/>
    <w:rsid w:val="00047B9A"/>
    <w:rsid w:val="00050CF4"/>
    <w:rsid w:val="00056E43"/>
    <w:rsid w:val="00057DE1"/>
    <w:rsid w:val="00060308"/>
    <w:rsid w:val="00060E17"/>
    <w:rsid w:val="000729C6"/>
    <w:rsid w:val="000732B8"/>
    <w:rsid w:val="00074AA3"/>
    <w:rsid w:val="00076FB1"/>
    <w:rsid w:val="000808B3"/>
    <w:rsid w:val="00082C8E"/>
    <w:rsid w:val="00084B54"/>
    <w:rsid w:val="0008565C"/>
    <w:rsid w:val="00087670"/>
    <w:rsid w:val="000908CF"/>
    <w:rsid w:val="000908FF"/>
    <w:rsid w:val="000909DD"/>
    <w:rsid w:val="00090F67"/>
    <w:rsid w:val="00093E1C"/>
    <w:rsid w:val="00094A89"/>
    <w:rsid w:val="00094AF5"/>
    <w:rsid w:val="00094EAB"/>
    <w:rsid w:val="000A2B5A"/>
    <w:rsid w:val="000A4C32"/>
    <w:rsid w:val="000A508D"/>
    <w:rsid w:val="000A5368"/>
    <w:rsid w:val="000A5B4C"/>
    <w:rsid w:val="000A6939"/>
    <w:rsid w:val="000B167B"/>
    <w:rsid w:val="000B3ECC"/>
    <w:rsid w:val="000B4D90"/>
    <w:rsid w:val="000B6848"/>
    <w:rsid w:val="000C26C6"/>
    <w:rsid w:val="000D115F"/>
    <w:rsid w:val="000D2CDC"/>
    <w:rsid w:val="000D7BDA"/>
    <w:rsid w:val="000E2ECB"/>
    <w:rsid w:val="000E55B9"/>
    <w:rsid w:val="000E66D0"/>
    <w:rsid w:val="000F50AF"/>
    <w:rsid w:val="0011126F"/>
    <w:rsid w:val="00111EAE"/>
    <w:rsid w:val="0011206B"/>
    <w:rsid w:val="00113143"/>
    <w:rsid w:val="001142D3"/>
    <w:rsid w:val="00116F80"/>
    <w:rsid w:val="001227E9"/>
    <w:rsid w:val="00122C1B"/>
    <w:rsid w:val="0012367C"/>
    <w:rsid w:val="00126A5C"/>
    <w:rsid w:val="001316DD"/>
    <w:rsid w:val="00131C46"/>
    <w:rsid w:val="00133420"/>
    <w:rsid w:val="00133695"/>
    <w:rsid w:val="0013439F"/>
    <w:rsid w:val="00137C65"/>
    <w:rsid w:val="001456E7"/>
    <w:rsid w:val="001540B3"/>
    <w:rsid w:val="001571EF"/>
    <w:rsid w:val="001613D8"/>
    <w:rsid w:val="0016256E"/>
    <w:rsid w:val="00162D50"/>
    <w:rsid w:val="00165587"/>
    <w:rsid w:val="00166A55"/>
    <w:rsid w:val="001706A7"/>
    <w:rsid w:val="00170887"/>
    <w:rsid w:val="00170FDE"/>
    <w:rsid w:val="00171BCA"/>
    <w:rsid w:val="00177DCA"/>
    <w:rsid w:val="00184E36"/>
    <w:rsid w:val="001875EC"/>
    <w:rsid w:val="00192FF7"/>
    <w:rsid w:val="001931AF"/>
    <w:rsid w:val="001971C9"/>
    <w:rsid w:val="0019795E"/>
    <w:rsid w:val="001A106F"/>
    <w:rsid w:val="001A242C"/>
    <w:rsid w:val="001A5779"/>
    <w:rsid w:val="001A650F"/>
    <w:rsid w:val="001A6C03"/>
    <w:rsid w:val="001B1B8C"/>
    <w:rsid w:val="001B226C"/>
    <w:rsid w:val="001B3673"/>
    <w:rsid w:val="001B4B15"/>
    <w:rsid w:val="001B68CC"/>
    <w:rsid w:val="001C04C1"/>
    <w:rsid w:val="001D1BD0"/>
    <w:rsid w:val="001D4E3E"/>
    <w:rsid w:val="001D5274"/>
    <w:rsid w:val="001D70F3"/>
    <w:rsid w:val="001E279A"/>
    <w:rsid w:val="001E4788"/>
    <w:rsid w:val="001E5794"/>
    <w:rsid w:val="001F0158"/>
    <w:rsid w:val="001F7142"/>
    <w:rsid w:val="001F7798"/>
    <w:rsid w:val="00207036"/>
    <w:rsid w:val="002122BA"/>
    <w:rsid w:val="00212C72"/>
    <w:rsid w:val="00212CB9"/>
    <w:rsid w:val="002132A8"/>
    <w:rsid w:val="0021660E"/>
    <w:rsid w:val="00224247"/>
    <w:rsid w:val="00232974"/>
    <w:rsid w:val="00236FF3"/>
    <w:rsid w:val="00237CAD"/>
    <w:rsid w:val="002431D5"/>
    <w:rsid w:val="002447FF"/>
    <w:rsid w:val="00247AE5"/>
    <w:rsid w:val="00253EDA"/>
    <w:rsid w:val="0026131F"/>
    <w:rsid w:val="002613B3"/>
    <w:rsid w:val="002625BF"/>
    <w:rsid w:val="00262D3A"/>
    <w:rsid w:val="00267D68"/>
    <w:rsid w:val="002712F4"/>
    <w:rsid w:val="00273487"/>
    <w:rsid w:val="00273EEC"/>
    <w:rsid w:val="002777F1"/>
    <w:rsid w:val="00291CF0"/>
    <w:rsid w:val="00292EE8"/>
    <w:rsid w:val="002953AF"/>
    <w:rsid w:val="00296822"/>
    <w:rsid w:val="002A1445"/>
    <w:rsid w:val="002A308A"/>
    <w:rsid w:val="002A388B"/>
    <w:rsid w:val="002A608F"/>
    <w:rsid w:val="002A653A"/>
    <w:rsid w:val="002A6FE9"/>
    <w:rsid w:val="002B017D"/>
    <w:rsid w:val="002B0D39"/>
    <w:rsid w:val="002B15BE"/>
    <w:rsid w:val="002B2C05"/>
    <w:rsid w:val="002B3970"/>
    <w:rsid w:val="002B3EEE"/>
    <w:rsid w:val="002B45B8"/>
    <w:rsid w:val="002C4591"/>
    <w:rsid w:val="002C463C"/>
    <w:rsid w:val="002C6578"/>
    <w:rsid w:val="002D12E8"/>
    <w:rsid w:val="002D451A"/>
    <w:rsid w:val="002D62A0"/>
    <w:rsid w:val="002E0336"/>
    <w:rsid w:val="002E2ACF"/>
    <w:rsid w:val="002E5467"/>
    <w:rsid w:val="002E560D"/>
    <w:rsid w:val="002F0BAB"/>
    <w:rsid w:val="002F35F5"/>
    <w:rsid w:val="002F5516"/>
    <w:rsid w:val="00301E90"/>
    <w:rsid w:val="00302ADE"/>
    <w:rsid w:val="00303644"/>
    <w:rsid w:val="00305561"/>
    <w:rsid w:val="003068C0"/>
    <w:rsid w:val="00306AEF"/>
    <w:rsid w:val="003147C4"/>
    <w:rsid w:val="00315760"/>
    <w:rsid w:val="003164DA"/>
    <w:rsid w:val="00316564"/>
    <w:rsid w:val="00320A5F"/>
    <w:rsid w:val="00324A67"/>
    <w:rsid w:val="0032502B"/>
    <w:rsid w:val="00331C62"/>
    <w:rsid w:val="003326AD"/>
    <w:rsid w:val="00334F8B"/>
    <w:rsid w:val="00335E84"/>
    <w:rsid w:val="00335ECE"/>
    <w:rsid w:val="00344B38"/>
    <w:rsid w:val="003521B6"/>
    <w:rsid w:val="003521C8"/>
    <w:rsid w:val="003527F6"/>
    <w:rsid w:val="003529F2"/>
    <w:rsid w:val="00354EE6"/>
    <w:rsid w:val="00354F81"/>
    <w:rsid w:val="003575BF"/>
    <w:rsid w:val="00360490"/>
    <w:rsid w:val="00371EB6"/>
    <w:rsid w:val="00374A16"/>
    <w:rsid w:val="00375A0F"/>
    <w:rsid w:val="00375A87"/>
    <w:rsid w:val="003762A7"/>
    <w:rsid w:val="00380ACE"/>
    <w:rsid w:val="00381244"/>
    <w:rsid w:val="003814F2"/>
    <w:rsid w:val="003819F4"/>
    <w:rsid w:val="003837AC"/>
    <w:rsid w:val="0039184E"/>
    <w:rsid w:val="00395982"/>
    <w:rsid w:val="00396127"/>
    <w:rsid w:val="003A0956"/>
    <w:rsid w:val="003A72F9"/>
    <w:rsid w:val="003B08DB"/>
    <w:rsid w:val="003B27E4"/>
    <w:rsid w:val="003B369A"/>
    <w:rsid w:val="003C3578"/>
    <w:rsid w:val="003C3F5D"/>
    <w:rsid w:val="003C5820"/>
    <w:rsid w:val="003C6B30"/>
    <w:rsid w:val="003D26FC"/>
    <w:rsid w:val="003D3B3B"/>
    <w:rsid w:val="003D412E"/>
    <w:rsid w:val="003D5C7B"/>
    <w:rsid w:val="003D6199"/>
    <w:rsid w:val="003D6F42"/>
    <w:rsid w:val="003E265F"/>
    <w:rsid w:val="003E5818"/>
    <w:rsid w:val="003E72B7"/>
    <w:rsid w:val="003F0209"/>
    <w:rsid w:val="003F0D4E"/>
    <w:rsid w:val="00400230"/>
    <w:rsid w:val="00403051"/>
    <w:rsid w:val="004045FF"/>
    <w:rsid w:val="00404D1B"/>
    <w:rsid w:val="00414EC8"/>
    <w:rsid w:val="0041698B"/>
    <w:rsid w:val="00420B2A"/>
    <w:rsid w:val="004218B6"/>
    <w:rsid w:val="00421E42"/>
    <w:rsid w:val="0042270A"/>
    <w:rsid w:val="00422855"/>
    <w:rsid w:val="00422D9B"/>
    <w:rsid w:val="004241BB"/>
    <w:rsid w:val="00426261"/>
    <w:rsid w:val="00426824"/>
    <w:rsid w:val="0042723B"/>
    <w:rsid w:val="0043171F"/>
    <w:rsid w:val="00433885"/>
    <w:rsid w:val="00433C7C"/>
    <w:rsid w:val="00437D3C"/>
    <w:rsid w:val="00441913"/>
    <w:rsid w:val="0044320F"/>
    <w:rsid w:val="00443789"/>
    <w:rsid w:val="00443C2D"/>
    <w:rsid w:val="00447E84"/>
    <w:rsid w:val="004564D3"/>
    <w:rsid w:val="004564F8"/>
    <w:rsid w:val="0045747F"/>
    <w:rsid w:val="004638DE"/>
    <w:rsid w:val="00465531"/>
    <w:rsid w:val="004671A3"/>
    <w:rsid w:val="0047398A"/>
    <w:rsid w:val="004802A1"/>
    <w:rsid w:val="00481D43"/>
    <w:rsid w:val="00483334"/>
    <w:rsid w:val="00485836"/>
    <w:rsid w:val="00490475"/>
    <w:rsid w:val="00494DC9"/>
    <w:rsid w:val="004964CF"/>
    <w:rsid w:val="004A1F89"/>
    <w:rsid w:val="004A3A28"/>
    <w:rsid w:val="004A3E60"/>
    <w:rsid w:val="004A4173"/>
    <w:rsid w:val="004A486B"/>
    <w:rsid w:val="004A506E"/>
    <w:rsid w:val="004A5329"/>
    <w:rsid w:val="004B0631"/>
    <w:rsid w:val="004B2AAF"/>
    <w:rsid w:val="004B3D77"/>
    <w:rsid w:val="004B411B"/>
    <w:rsid w:val="004C3619"/>
    <w:rsid w:val="004C37D7"/>
    <w:rsid w:val="004D15C3"/>
    <w:rsid w:val="004D7CA2"/>
    <w:rsid w:val="004E00A5"/>
    <w:rsid w:val="004E3C4C"/>
    <w:rsid w:val="004E471D"/>
    <w:rsid w:val="004E5F33"/>
    <w:rsid w:val="004E6B99"/>
    <w:rsid w:val="004E71AC"/>
    <w:rsid w:val="004F1B26"/>
    <w:rsid w:val="004F1CEA"/>
    <w:rsid w:val="004F41D5"/>
    <w:rsid w:val="004F6958"/>
    <w:rsid w:val="004F6AA3"/>
    <w:rsid w:val="005033C5"/>
    <w:rsid w:val="00506019"/>
    <w:rsid w:val="00506EDD"/>
    <w:rsid w:val="00507E3C"/>
    <w:rsid w:val="00510AB6"/>
    <w:rsid w:val="00510E1F"/>
    <w:rsid w:val="005116EB"/>
    <w:rsid w:val="00511CAE"/>
    <w:rsid w:val="00511E00"/>
    <w:rsid w:val="005153C3"/>
    <w:rsid w:val="0051786E"/>
    <w:rsid w:val="0052005E"/>
    <w:rsid w:val="00520958"/>
    <w:rsid w:val="00520F0B"/>
    <w:rsid w:val="0052185F"/>
    <w:rsid w:val="00521DFD"/>
    <w:rsid w:val="00521E81"/>
    <w:rsid w:val="00521FB3"/>
    <w:rsid w:val="005300D1"/>
    <w:rsid w:val="00531D77"/>
    <w:rsid w:val="00531F55"/>
    <w:rsid w:val="00532CE9"/>
    <w:rsid w:val="00540115"/>
    <w:rsid w:val="00541288"/>
    <w:rsid w:val="005438A3"/>
    <w:rsid w:val="00545293"/>
    <w:rsid w:val="00553F3E"/>
    <w:rsid w:val="00557A34"/>
    <w:rsid w:val="00560ECA"/>
    <w:rsid w:val="005626FA"/>
    <w:rsid w:val="00564F2F"/>
    <w:rsid w:val="00573544"/>
    <w:rsid w:val="00573681"/>
    <w:rsid w:val="005747A7"/>
    <w:rsid w:val="00575B4E"/>
    <w:rsid w:val="00577A26"/>
    <w:rsid w:val="005802EB"/>
    <w:rsid w:val="0058247F"/>
    <w:rsid w:val="0058417D"/>
    <w:rsid w:val="005843E0"/>
    <w:rsid w:val="0059019A"/>
    <w:rsid w:val="00594AE8"/>
    <w:rsid w:val="00596E76"/>
    <w:rsid w:val="00596FCB"/>
    <w:rsid w:val="005A4A69"/>
    <w:rsid w:val="005A69B9"/>
    <w:rsid w:val="005A7DE0"/>
    <w:rsid w:val="005B42AF"/>
    <w:rsid w:val="005B6344"/>
    <w:rsid w:val="005C01AE"/>
    <w:rsid w:val="005C0595"/>
    <w:rsid w:val="005C293B"/>
    <w:rsid w:val="005C6833"/>
    <w:rsid w:val="005D3D77"/>
    <w:rsid w:val="005D56B2"/>
    <w:rsid w:val="005E0CFA"/>
    <w:rsid w:val="005E16CF"/>
    <w:rsid w:val="005E3E04"/>
    <w:rsid w:val="005E46E6"/>
    <w:rsid w:val="005E527E"/>
    <w:rsid w:val="005E77A1"/>
    <w:rsid w:val="00600A4E"/>
    <w:rsid w:val="00603D9D"/>
    <w:rsid w:val="00604B63"/>
    <w:rsid w:val="00606EE9"/>
    <w:rsid w:val="00607B8A"/>
    <w:rsid w:val="006110C4"/>
    <w:rsid w:val="006118A4"/>
    <w:rsid w:val="00612164"/>
    <w:rsid w:val="00612D9D"/>
    <w:rsid w:val="00613EDF"/>
    <w:rsid w:val="00615074"/>
    <w:rsid w:val="00616AE6"/>
    <w:rsid w:val="00620264"/>
    <w:rsid w:val="00620622"/>
    <w:rsid w:val="0062288F"/>
    <w:rsid w:val="00626374"/>
    <w:rsid w:val="006300B5"/>
    <w:rsid w:val="006312F6"/>
    <w:rsid w:val="006342DD"/>
    <w:rsid w:val="0063650E"/>
    <w:rsid w:val="00646405"/>
    <w:rsid w:val="0064748F"/>
    <w:rsid w:val="00653DF3"/>
    <w:rsid w:val="00655BEC"/>
    <w:rsid w:val="00656841"/>
    <w:rsid w:val="006577DC"/>
    <w:rsid w:val="00657923"/>
    <w:rsid w:val="0067037B"/>
    <w:rsid w:val="00671354"/>
    <w:rsid w:val="006728C3"/>
    <w:rsid w:val="006730EA"/>
    <w:rsid w:val="00674256"/>
    <w:rsid w:val="006844AA"/>
    <w:rsid w:val="006850A2"/>
    <w:rsid w:val="006855B5"/>
    <w:rsid w:val="006872D6"/>
    <w:rsid w:val="00694F02"/>
    <w:rsid w:val="006A26D9"/>
    <w:rsid w:val="006A33B1"/>
    <w:rsid w:val="006A5EC3"/>
    <w:rsid w:val="006B3FB0"/>
    <w:rsid w:val="006B4DEB"/>
    <w:rsid w:val="006B79EF"/>
    <w:rsid w:val="006B7DC8"/>
    <w:rsid w:val="006B7FAA"/>
    <w:rsid w:val="006C0C48"/>
    <w:rsid w:val="006C7D8A"/>
    <w:rsid w:val="006D33CF"/>
    <w:rsid w:val="006D7906"/>
    <w:rsid w:val="006D7DD0"/>
    <w:rsid w:val="006E075C"/>
    <w:rsid w:val="006E41AF"/>
    <w:rsid w:val="006E5BAD"/>
    <w:rsid w:val="006F1628"/>
    <w:rsid w:val="006F4E33"/>
    <w:rsid w:val="006F7092"/>
    <w:rsid w:val="00701A3B"/>
    <w:rsid w:val="007025DF"/>
    <w:rsid w:val="00703254"/>
    <w:rsid w:val="00704D10"/>
    <w:rsid w:val="007134BE"/>
    <w:rsid w:val="00714035"/>
    <w:rsid w:val="00716569"/>
    <w:rsid w:val="0072442C"/>
    <w:rsid w:val="007304E7"/>
    <w:rsid w:val="00735043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3D7"/>
    <w:rsid w:val="0076665C"/>
    <w:rsid w:val="00767FCB"/>
    <w:rsid w:val="00771CF5"/>
    <w:rsid w:val="0077365E"/>
    <w:rsid w:val="00775A7B"/>
    <w:rsid w:val="007760C2"/>
    <w:rsid w:val="00777ECD"/>
    <w:rsid w:val="007804FC"/>
    <w:rsid w:val="0078438E"/>
    <w:rsid w:val="00784629"/>
    <w:rsid w:val="00787AC1"/>
    <w:rsid w:val="0079074A"/>
    <w:rsid w:val="00792CBA"/>
    <w:rsid w:val="007A198B"/>
    <w:rsid w:val="007B25B2"/>
    <w:rsid w:val="007B2F29"/>
    <w:rsid w:val="007B7F9E"/>
    <w:rsid w:val="007C235C"/>
    <w:rsid w:val="007C25DA"/>
    <w:rsid w:val="007C26C0"/>
    <w:rsid w:val="007C3573"/>
    <w:rsid w:val="007C48FA"/>
    <w:rsid w:val="007D3A00"/>
    <w:rsid w:val="007D4252"/>
    <w:rsid w:val="007D4708"/>
    <w:rsid w:val="007D5219"/>
    <w:rsid w:val="007E018C"/>
    <w:rsid w:val="007E4C2C"/>
    <w:rsid w:val="007E5888"/>
    <w:rsid w:val="007E65B6"/>
    <w:rsid w:val="007E6910"/>
    <w:rsid w:val="007E7ECC"/>
    <w:rsid w:val="007F0520"/>
    <w:rsid w:val="007F1C5D"/>
    <w:rsid w:val="007F4AC0"/>
    <w:rsid w:val="007F51EF"/>
    <w:rsid w:val="007F54DC"/>
    <w:rsid w:val="00801363"/>
    <w:rsid w:val="00805229"/>
    <w:rsid w:val="00806895"/>
    <w:rsid w:val="0080721A"/>
    <w:rsid w:val="00817C13"/>
    <w:rsid w:val="00822515"/>
    <w:rsid w:val="00823990"/>
    <w:rsid w:val="00824EEF"/>
    <w:rsid w:val="00833281"/>
    <w:rsid w:val="008371C7"/>
    <w:rsid w:val="0083777A"/>
    <w:rsid w:val="00840327"/>
    <w:rsid w:val="00840D46"/>
    <w:rsid w:val="00841C27"/>
    <w:rsid w:val="00843B71"/>
    <w:rsid w:val="00850A51"/>
    <w:rsid w:val="0085188B"/>
    <w:rsid w:val="00852AB3"/>
    <w:rsid w:val="00853A09"/>
    <w:rsid w:val="00855E49"/>
    <w:rsid w:val="00856988"/>
    <w:rsid w:val="00857CE5"/>
    <w:rsid w:val="00863EDF"/>
    <w:rsid w:val="00864407"/>
    <w:rsid w:val="00864B54"/>
    <w:rsid w:val="008653E8"/>
    <w:rsid w:val="00865868"/>
    <w:rsid w:val="008737CD"/>
    <w:rsid w:val="008741B3"/>
    <w:rsid w:val="00875FC5"/>
    <w:rsid w:val="008779BD"/>
    <w:rsid w:val="00880AD4"/>
    <w:rsid w:val="00881FEE"/>
    <w:rsid w:val="008820FC"/>
    <w:rsid w:val="0088291D"/>
    <w:rsid w:val="008850FE"/>
    <w:rsid w:val="00887532"/>
    <w:rsid w:val="00890040"/>
    <w:rsid w:val="00895980"/>
    <w:rsid w:val="00895E98"/>
    <w:rsid w:val="008A0473"/>
    <w:rsid w:val="008A0BB9"/>
    <w:rsid w:val="008A2ABF"/>
    <w:rsid w:val="008A3C0D"/>
    <w:rsid w:val="008A49DB"/>
    <w:rsid w:val="008A61AB"/>
    <w:rsid w:val="008A786D"/>
    <w:rsid w:val="008B26D6"/>
    <w:rsid w:val="008B317D"/>
    <w:rsid w:val="008B3615"/>
    <w:rsid w:val="008B4E3F"/>
    <w:rsid w:val="008B61E8"/>
    <w:rsid w:val="008C48E9"/>
    <w:rsid w:val="008C52FA"/>
    <w:rsid w:val="008D36A5"/>
    <w:rsid w:val="008D473C"/>
    <w:rsid w:val="008D62F8"/>
    <w:rsid w:val="008D6DE4"/>
    <w:rsid w:val="008D75B8"/>
    <w:rsid w:val="008E0AAA"/>
    <w:rsid w:val="008F1065"/>
    <w:rsid w:val="008F1362"/>
    <w:rsid w:val="008F49D5"/>
    <w:rsid w:val="008F6B26"/>
    <w:rsid w:val="008F6C9F"/>
    <w:rsid w:val="008F7646"/>
    <w:rsid w:val="00901301"/>
    <w:rsid w:val="009015FE"/>
    <w:rsid w:val="00901F07"/>
    <w:rsid w:val="0090247F"/>
    <w:rsid w:val="00903B20"/>
    <w:rsid w:val="00903F61"/>
    <w:rsid w:val="00906E67"/>
    <w:rsid w:val="009077CC"/>
    <w:rsid w:val="00907853"/>
    <w:rsid w:val="00913CF2"/>
    <w:rsid w:val="009148D4"/>
    <w:rsid w:val="00921468"/>
    <w:rsid w:val="0092278E"/>
    <w:rsid w:val="00924B0F"/>
    <w:rsid w:val="009322B2"/>
    <w:rsid w:val="009322EB"/>
    <w:rsid w:val="00934EC8"/>
    <w:rsid w:val="00934FA7"/>
    <w:rsid w:val="00942ABC"/>
    <w:rsid w:val="00943BAC"/>
    <w:rsid w:val="00943DD7"/>
    <w:rsid w:val="00945230"/>
    <w:rsid w:val="00947D0C"/>
    <w:rsid w:val="00947FA0"/>
    <w:rsid w:val="00951847"/>
    <w:rsid w:val="00953178"/>
    <w:rsid w:val="00955AFE"/>
    <w:rsid w:val="00957D78"/>
    <w:rsid w:val="00960924"/>
    <w:rsid w:val="00961049"/>
    <w:rsid w:val="00964487"/>
    <w:rsid w:val="0096646E"/>
    <w:rsid w:val="00970A08"/>
    <w:rsid w:val="00973167"/>
    <w:rsid w:val="00973E73"/>
    <w:rsid w:val="00974C59"/>
    <w:rsid w:val="00974D67"/>
    <w:rsid w:val="0097569C"/>
    <w:rsid w:val="009809B0"/>
    <w:rsid w:val="00986E59"/>
    <w:rsid w:val="009910EC"/>
    <w:rsid w:val="009920D3"/>
    <w:rsid w:val="00992648"/>
    <w:rsid w:val="0099319F"/>
    <w:rsid w:val="009935E6"/>
    <w:rsid w:val="009A1532"/>
    <w:rsid w:val="009A1895"/>
    <w:rsid w:val="009B0142"/>
    <w:rsid w:val="009B28F4"/>
    <w:rsid w:val="009B3C5E"/>
    <w:rsid w:val="009B7DD4"/>
    <w:rsid w:val="009C6F01"/>
    <w:rsid w:val="009D0B98"/>
    <w:rsid w:val="009D3156"/>
    <w:rsid w:val="009E31E8"/>
    <w:rsid w:val="009E429D"/>
    <w:rsid w:val="009E4CAE"/>
    <w:rsid w:val="009E5216"/>
    <w:rsid w:val="009E6A73"/>
    <w:rsid w:val="00A015D1"/>
    <w:rsid w:val="00A03963"/>
    <w:rsid w:val="00A05FC6"/>
    <w:rsid w:val="00A07B05"/>
    <w:rsid w:val="00A10922"/>
    <w:rsid w:val="00A11308"/>
    <w:rsid w:val="00A117AD"/>
    <w:rsid w:val="00A11A8B"/>
    <w:rsid w:val="00A123E9"/>
    <w:rsid w:val="00A12945"/>
    <w:rsid w:val="00A14F81"/>
    <w:rsid w:val="00A25B13"/>
    <w:rsid w:val="00A267F3"/>
    <w:rsid w:val="00A32338"/>
    <w:rsid w:val="00A33D41"/>
    <w:rsid w:val="00A3680B"/>
    <w:rsid w:val="00A43A09"/>
    <w:rsid w:val="00A501A4"/>
    <w:rsid w:val="00A526AD"/>
    <w:rsid w:val="00A53398"/>
    <w:rsid w:val="00A537DB"/>
    <w:rsid w:val="00A53C67"/>
    <w:rsid w:val="00A55227"/>
    <w:rsid w:val="00A569F1"/>
    <w:rsid w:val="00A60C55"/>
    <w:rsid w:val="00A63113"/>
    <w:rsid w:val="00A650C2"/>
    <w:rsid w:val="00A65C28"/>
    <w:rsid w:val="00A716F1"/>
    <w:rsid w:val="00A72552"/>
    <w:rsid w:val="00A74A1C"/>
    <w:rsid w:val="00A77C8C"/>
    <w:rsid w:val="00A83D84"/>
    <w:rsid w:val="00A85090"/>
    <w:rsid w:val="00A97156"/>
    <w:rsid w:val="00AA07F5"/>
    <w:rsid w:val="00AA1DA4"/>
    <w:rsid w:val="00AA2EB6"/>
    <w:rsid w:val="00AB3AE5"/>
    <w:rsid w:val="00AB6141"/>
    <w:rsid w:val="00AC06FA"/>
    <w:rsid w:val="00AC0F21"/>
    <w:rsid w:val="00AC6036"/>
    <w:rsid w:val="00AC6BD2"/>
    <w:rsid w:val="00AD06CB"/>
    <w:rsid w:val="00AD4249"/>
    <w:rsid w:val="00AD5ECB"/>
    <w:rsid w:val="00AD66C8"/>
    <w:rsid w:val="00AE4252"/>
    <w:rsid w:val="00AE5D71"/>
    <w:rsid w:val="00AF0A5C"/>
    <w:rsid w:val="00B03AFD"/>
    <w:rsid w:val="00B13B38"/>
    <w:rsid w:val="00B16E81"/>
    <w:rsid w:val="00B2232C"/>
    <w:rsid w:val="00B33A38"/>
    <w:rsid w:val="00B34DC0"/>
    <w:rsid w:val="00B358CC"/>
    <w:rsid w:val="00B36EF4"/>
    <w:rsid w:val="00B4015B"/>
    <w:rsid w:val="00B41AC7"/>
    <w:rsid w:val="00B44D74"/>
    <w:rsid w:val="00B47B2C"/>
    <w:rsid w:val="00B55D51"/>
    <w:rsid w:val="00B56D6F"/>
    <w:rsid w:val="00B6192B"/>
    <w:rsid w:val="00B70F3C"/>
    <w:rsid w:val="00B716A4"/>
    <w:rsid w:val="00B71F60"/>
    <w:rsid w:val="00B73EB8"/>
    <w:rsid w:val="00B749ED"/>
    <w:rsid w:val="00B768BC"/>
    <w:rsid w:val="00B76F2F"/>
    <w:rsid w:val="00B7703B"/>
    <w:rsid w:val="00B844A3"/>
    <w:rsid w:val="00B85261"/>
    <w:rsid w:val="00B8675D"/>
    <w:rsid w:val="00B90F82"/>
    <w:rsid w:val="00B91B28"/>
    <w:rsid w:val="00B92910"/>
    <w:rsid w:val="00B9369D"/>
    <w:rsid w:val="00B94136"/>
    <w:rsid w:val="00B959C8"/>
    <w:rsid w:val="00B97255"/>
    <w:rsid w:val="00B97C23"/>
    <w:rsid w:val="00BA0BF4"/>
    <w:rsid w:val="00BA2DD6"/>
    <w:rsid w:val="00BA61ED"/>
    <w:rsid w:val="00BA70C5"/>
    <w:rsid w:val="00BA7CA8"/>
    <w:rsid w:val="00BB0348"/>
    <w:rsid w:val="00BB3AB9"/>
    <w:rsid w:val="00BB57F7"/>
    <w:rsid w:val="00BC02A2"/>
    <w:rsid w:val="00BC0AC0"/>
    <w:rsid w:val="00BC46F8"/>
    <w:rsid w:val="00BD0908"/>
    <w:rsid w:val="00BD20CC"/>
    <w:rsid w:val="00BD2118"/>
    <w:rsid w:val="00BD2EA4"/>
    <w:rsid w:val="00BE00FB"/>
    <w:rsid w:val="00BE0640"/>
    <w:rsid w:val="00BE094C"/>
    <w:rsid w:val="00BE2A1D"/>
    <w:rsid w:val="00BE45B6"/>
    <w:rsid w:val="00BF2925"/>
    <w:rsid w:val="00BF4384"/>
    <w:rsid w:val="00BF725E"/>
    <w:rsid w:val="00C0177E"/>
    <w:rsid w:val="00C0246E"/>
    <w:rsid w:val="00C03532"/>
    <w:rsid w:val="00C060CC"/>
    <w:rsid w:val="00C06A6D"/>
    <w:rsid w:val="00C07865"/>
    <w:rsid w:val="00C12154"/>
    <w:rsid w:val="00C147D1"/>
    <w:rsid w:val="00C156B7"/>
    <w:rsid w:val="00C16DAA"/>
    <w:rsid w:val="00C20A88"/>
    <w:rsid w:val="00C21391"/>
    <w:rsid w:val="00C21492"/>
    <w:rsid w:val="00C22506"/>
    <w:rsid w:val="00C241CB"/>
    <w:rsid w:val="00C259F2"/>
    <w:rsid w:val="00C32123"/>
    <w:rsid w:val="00C32736"/>
    <w:rsid w:val="00C32B7E"/>
    <w:rsid w:val="00C32C00"/>
    <w:rsid w:val="00C34432"/>
    <w:rsid w:val="00C3515C"/>
    <w:rsid w:val="00C369D3"/>
    <w:rsid w:val="00C36E6D"/>
    <w:rsid w:val="00C37371"/>
    <w:rsid w:val="00C37A5F"/>
    <w:rsid w:val="00C431A8"/>
    <w:rsid w:val="00C45203"/>
    <w:rsid w:val="00C464FB"/>
    <w:rsid w:val="00C5291F"/>
    <w:rsid w:val="00C53E4F"/>
    <w:rsid w:val="00C547CA"/>
    <w:rsid w:val="00C549DB"/>
    <w:rsid w:val="00C54A4F"/>
    <w:rsid w:val="00C54DF3"/>
    <w:rsid w:val="00C601E0"/>
    <w:rsid w:val="00C61F11"/>
    <w:rsid w:val="00C62401"/>
    <w:rsid w:val="00C631DE"/>
    <w:rsid w:val="00C6485E"/>
    <w:rsid w:val="00C64893"/>
    <w:rsid w:val="00C662AA"/>
    <w:rsid w:val="00C76643"/>
    <w:rsid w:val="00C822D9"/>
    <w:rsid w:val="00C82B49"/>
    <w:rsid w:val="00C83085"/>
    <w:rsid w:val="00C839CB"/>
    <w:rsid w:val="00C87262"/>
    <w:rsid w:val="00C95B8F"/>
    <w:rsid w:val="00CA73F9"/>
    <w:rsid w:val="00CA767D"/>
    <w:rsid w:val="00CB29AB"/>
    <w:rsid w:val="00CB540F"/>
    <w:rsid w:val="00CB64AE"/>
    <w:rsid w:val="00CC2EC0"/>
    <w:rsid w:val="00CC3FAB"/>
    <w:rsid w:val="00CC5885"/>
    <w:rsid w:val="00CC5D98"/>
    <w:rsid w:val="00CD1246"/>
    <w:rsid w:val="00CD2B27"/>
    <w:rsid w:val="00CD570D"/>
    <w:rsid w:val="00CD654A"/>
    <w:rsid w:val="00CE40FB"/>
    <w:rsid w:val="00CE6C22"/>
    <w:rsid w:val="00CF27D3"/>
    <w:rsid w:val="00CF786B"/>
    <w:rsid w:val="00D0171A"/>
    <w:rsid w:val="00D01EE4"/>
    <w:rsid w:val="00D07C44"/>
    <w:rsid w:val="00D10CDF"/>
    <w:rsid w:val="00D1468E"/>
    <w:rsid w:val="00D201A9"/>
    <w:rsid w:val="00D21F0C"/>
    <w:rsid w:val="00D24A7E"/>
    <w:rsid w:val="00D25E4A"/>
    <w:rsid w:val="00D26BCA"/>
    <w:rsid w:val="00D434C8"/>
    <w:rsid w:val="00D43DAB"/>
    <w:rsid w:val="00D64560"/>
    <w:rsid w:val="00D700CF"/>
    <w:rsid w:val="00D74447"/>
    <w:rsid w:val="00D769F8"/>
    <w:rsid w:val="00D824DB"/>
    <w:rsid w:val="00D828DA"/>
    <w:rsid w:val="00DA004B"/>
    <w:rsid w:val="00DA1F44"/>
    <w:rsid w:val="00DA20BB"/>
    <w:rsid w:val="00DA252E"/>
    <w:rsid w:val="00DB0176"/>
    <w:rsid w:val="00DB11B1"/>
    <w:rsid w:val="00DB6321"/>
    <w:rsid w:val="00DC3B9B"/>
    <w:rsid w:val="00DC5635"/>
    <w:rsid w:val="00DC7A04"/>
    <w:rsid w:val="00DD0058"/>
    <w:rsid w:val="00DD28CC"/>
    <w:rsid w:val="00DD29FF"/>
    <w:rsid w:val="00DD343B"/>
    <w:rsid w:val="00DD4650"/>
    <w:rsid w:val="00DE3C95"/>
    <w:rsid w:val="00DE4739"/>
    <w:rsid w:val="00DE6069"/>
    <w:rsid w:val="00DE68D1"/>
    <w:rsid w:val="00DE6FA2"/>
    <w:rsid w:val="00DF1F81"/>
    <w:rsid w:val="00DF60B9"/>
    <w:rsid w:val="00E000FD"/>
    <w:rsid w:val="00E02434"/>
    <w:rsid w:val="00E04DD8"/>
    <w:rsid w:val="00E04FCB"/>
    <w:rsid w:val="00E05BDF"/>
    <w:rsid w:val="00E10204"/>
    <w:rsid w:val="00E11417"/>
    <w:rsid w:val="00E1259C"/>
    <w:rsid w:val="00E145F9"/>
    <w:rsid w:val="00E148E6"/>
    <w:rsid w:val="00E21F97"/>
    <w:rsid w:val="00E238B1"/>
    <w:rsid w:val="00E23A2A"/>
    <w:rsid w:val="00E300B3"/>
    <w:rsid w:val="00E322BB"/>
    <w:rsid w:val="00E327D6"/>
    <w:rsid w:val="00E3381B"/>
    <w:rsid w:val="00E3406F"/>
    <w:rsid w:val="00E350E9"/>
    <w:rsid w:val="00E351B8"/>
    <w:rsid w:val="00E37001"/>
    <w:rsid w:val="00E37B55"/>
    <w:rsid w:val="00E40DFF"/>
    <w:rsid w:val="00E41745"/>
    <w:rsid w:val="00E41C8F"/>
    <w:rsid w:val="00E46586"/>
    <w:rsid w:val="00E538DB"/>
    <w:rsid w:val="00E53C0C"/>
    <w:rsid w:val="00E54221"/>
    <w:rsid w:val="00E55BDB"/>
    <w:rsid w:val="00E5786A"/>
    <w:rsid w:val="00E620C7"/>
    <w:rsid w:val="00E643B8"/>
    <w:rsid w:val="00E70AA5"/>
    <w:rsid w:val="00E73350"/>
    <w:rsid w:val="00E7387D"/>
    <w:rsid w:val="00E73EF5"/>
    <w:rsid w:val="00E7408B"/>
    <w:rsid w:val="00E75AE8"/>
    <w:rsid w:val="00E80EEF"/>
    <w:rsid w:val="00E81348"/>
    <w:rsid w:val="00E84739"/>
    <w:rsid w:val="00E8592E"/>
    <w:rsid w:val="00E874E0"/>
    <w:rsid w:val="00E91334"/>
    <w:rsid w:val="00E9447D"/>
    <w:rsid w:val="00E948F1"/>
    <w:rsid w:val="00EA019C"/>
    <w:rsid w:val="00EA0AAC"/>
    <w:rsid w:val="00EA397A"/>
    <w:rsid w:val="00EA3EE2"/>
    <w:rsid w:val="00EA6876"/>
    <w:rsid w:val="00EB01E4"/>
    <w:rsid w:val="00EB33D9"/>
    <w:rsid w:val="00EB3935"/>
    <w:rsid w:val="00EB706C"/>
    <w:rsid w:val="00EC632A"/>
    <w:rsid w:val="00EC7067"/>
    <w:rsid w:val="00EC76B7"/>
    <w:rsid w:val="00ED61E7"/>
    <w:rsid w:val="00ED6275"/>
    <w:rsid w:val="00EE119B"/>
    <w:rsid w:val="00EE127C"/>
    <w:rsid w:val="00EE1726"/>
    <w:rsid w:val="00EE2D53"/>
    <w:rsid w:val="00EE5207"/>
    <w:rsid w:val="00EE61FC"/>
    <w:rsid w:val="00EE6D99"/>
    <w:rsid w:val="00EE793B"/>
    <w:rsid w:val="00EF1604"/>
    <w:rsid w:val="00EF1D31"/>
    <w:rsid w:val="00EF7CAB"/>
    <w:rsid w:val="00F1214C"/>
    <w:rsid w:val="00F1552A"/>
    <w:rsid w:val="00F1606F"/>
    <w:rsid w:val="00F20FE9"/>
    <w:rsid w:val="00F210B8"/>
    <w:rsid w:val="00F2174F"/>
    <w:rsid w:val="00F253A3"/>
    <w:rsid w:val="00F27841"/>
    <w:rsid w:val="00F3410C"/>
    <w:rsid w:val="00F357DB"/>
    <w:rsid w:val="00F4120C"/>
    <w:rsid w:val="00F422A9"/>
    <w:rsid w:val="00F514FD"/>
    <w:rsid w:val="00F52C6A"/>
    <w:rsid w:val="00F56341"/>
    <w:rsid w:val="00F614B0"/>
    <w:rsid w:val="00F650F5"/>
    <w:rsid w:val="00F703D3"/>
    <w:rsid w:val="00F73610"/>
    <w:rsid w:val="00F73E08"/>
    <w:rsid w:val="00F752C2"/>
    <w:rsid w:val="00F75633"/>
    <w:rsid w:val="00F77F13"/>
    <w:rsid w:val="00F828FE"/>
    <w:rsid w:val="00F82EBD"/>
    <w:rsid w:val="00F83BE8"/>
    <w:rsid w:val="00F84D11"/>
    <w:rsid w:val="00F91A5B"/>
    <w:rsid w:val="00F91B3D"/>
    <w:rsid w:val="00F93783"/>
    <w:rsid w:val="00F94A3E"/>
    <w:rsid w:val="00F94AD3"/>
    <w:rsid w:val="00FA177A"/>
    <w:rsid w:val="00FA1A75"/>
    <w:rsid w:val="00FA361B"/>
    <w:rsid w:val="00FA4628"/>
    <w:rsid w:val="00FA7E4C"/>
    <w:rsid w:val="00FC2170"/>
    <w:rsid w:val="00FC257A"/>
    <w:rsid w:val="00FC5813"/>
    <w:rsid w:val="00FD02B5"/>
    <w:rsid w:val="00FD7B97"/>
    <w:rsid w:val="00FE4588"/>
    <w:rsid w:val="00FE74FF"/>
    <w:rsid w:val="00FF0D77"/>
    <w:rsid w:val="00FF1AB2"/>
    <w:rsid w:val="00FF3D0C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DC5D17F"/>
  <w15:docId w15:val="{C0E93CE5-114D-4E15-9B67-DD68074F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2A653A"/>
    <w:pPr>
      <w:keepNext/>
      <w:numPr>
        <w:ilvl w:val="1"/>
        <w:numId w:val="1"/>
      </w:numPr>
      <w:spacing w:before="240"/>
      <w:ind w:left="1134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A653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4DC9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94DC9"/>
    <w:rPr>
      <w:rFonts w:ascii="Verdana" w:hAnsi="Verdana"/>
      <w:sz w:val="20"/>
    </w:rPr>
  </w:style>
  <w:style w:type="paragraph" w:customStyle="1" w:styleId="Smlouva-eslo">
    <w:name w:val="Smlouva-eíslo"/>
    <w:basedOn w:val="Normln"/>
    <w:rsid w:val="00494DC9"/>
    <w:pPr>
      <w:widowControl w:val="0"/>
      <w:spacing w:before="120" w:after="0" w:line="240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68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25B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57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5B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5BF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5BF"/>
    <w:rPr>
      <w:rFonts w:ascii="Verdana" w:hAnsi="Verdan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92EE8"/>
    <w:pPr>
      <w:spacing w:after="0" w:line="240" w:lineRule="auto"/>
    </w:pPr>
    <w:rPr>
      <w:rFonts w:ascii="Verdana" w:hAnsi="Verdana"/>
      <w:sz w:val="20"/>
    </w:rPr>
  </w:style>
  <w:style w:type="paragraph" w:customStyle="1" w:styleId="OdstavecSmlouvy">
    <w:name w:val="OdstavecSmlouvy"/>
    <w:basedOn w:val="Normln"/>
    <w:rsid w:val="00292EE8"/>
    <w:pPr>
      <w:keepLines/>
      <w:tabs>
        <w:tab w:val="left" w:pos="426"/>
        <w:tab w:val="left" w:pos="1701"/>
      </w:tabs>
    </w:pPr>
    <w:rPr>
      <w:rFonts w:eastAsia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594AE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5">
    <w:name w:val="Styl5"/>
    <w:basedOn w:val="Normln"/>
    <w:link w:val="Styl5Char"/>
    <w:qFormat/>
    <w:rsid w:val="00973E73"/>
    <w:pPr>
      <w:numPr>
        <w:numId w:val="42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5Char">
    <w:name w:val="Styl5 Char"/>
    <w:basedOn w:val="Standardnpsmoodstavce"/>
    <w:link w:val="Styl5"/>
    <w:locked/>
    <w:rsid w:val="00973E73"/>
    <w:rPr>
      <w:rFonts w:eastAsia="Times New Roman" w:cs="Times New Roman"/>
      <w:szCs w:val="24"/>
    </w:rPr>
  </w:style>
  <w:style w:type="paragraph" w:customStyle="1" w:styleId="Styl11">
    <w:name w:val="Styl11"/>
    <w:basedOn w:val="Normln"/>
    <w:qFormat/>
    <w:rsid w:val="00973E73"/>
    <w:pPr>
      <w:numPr>
        <w:numId w:val="43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8">
    <w:name w:val="Styl8"/>
    <w:basedOn w:val="Normln"/>
    <w:link w:val="Styl8Char"/>
    <w:qFormat/>
    <w:rsid w:val="004564F8"/>
    <w:pPr>
      <w:numPr>
        <w:numId w:val="44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8Char">
    <w:name w:val="Styl8 Char"/>
    <w:basedOn w:val="Standardnpsmoodstavce"/>
    <w:link w:val="Styl8"/>
    <w:locked/>
    <w:rsid w:val="004564F8"/>
    <w:rPr>
      <w:rFonts w:eastAsia="Times New Roman" w:cs="Times New Roman"/>
      <w:szCs w:val="24"/>
    </w:rPr>
  </w:style>
  <w:style w:type="paragraph" w:customStyle="1" w:styleId="Normln2">
    <w:name w:val="Normální 2"/>
    <w:basedOn w:val="Normln"/>
    <w:qFormat/>
    <w:rsid w:val="004564F8"/>
    <w:pPr>
      <w:spacing w:before="120" w:line="259" w:lineRule="auto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ezak.cz/manual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E80E-889B-4C60-821D-5CE54A28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4600</Words>
  <Characters>27146</Characters>
  <Application>Microsoft Office Word</Application>
  <DocSecurity>8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25</cp:revision>
  <cp:lastPrinted>2025-12-03T11:19:00Z</cp:lastPrinted>
  <dcterms:created xsi:type="dcterms:W3CDTF">2025-11-12T11:01:00Z</dcterms:created>
  <dcterms:modified xsi:type="dcterms:W3CDTF">2025-12-16T13:19:00Z</dcterms:modified>
</cp:coreProperties>
</file>