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1D4A" w14:textId="6B238CCD" w:rsidR="00FC4EF7" w:rsidRDefault="005D2AE8">
      <w:pPr>
        <w:rPr>
          <w:rFonts w:ascii="Calibri" w:hAnsi="Calibri" w:cs="Calibri"/>
          <w:sz w:val="22"/>
          <w:szCs w:val="22"/>
        </w:rPr>
      </w:pPr>
      <w:r w:rsidRPr="005D2AE8">
        <w:rPr>
          <w:rFonts w:ascii="Calibri" w:hAnsi="Calibri" w:cs="Calibri"/>
          <w:sz w:val="22"/>
          <w:szCs w:val="22"/>
        </w:rPr>
        <w:t>Příloha č. 5:</w:t>
      </w:r>
      <w:r w:rsidRPr="005D2AE8">
        <w:rPr>
          <w:rFonts w:ascii="Calibri" w:hAnsi="Calibri" w:cs="Calibri"/>
          <w:sz w:val="22"/>
          <w:szCs w:val="22"/>
        </w:rPr>
        <w:tab/>
        <w:t>Podmínky Technické podpory</w:t>
      </w:r>
    </w:p>
    <w:p w14:paraId="7FF380A0" w14:textId="2BEAF733" w:rsidR="00A116B2" w:rsidRPr="00A116B2" w:rsidRDefault="00A116B2" w:rsidP="00A116B2">
      <w:pPr>
        <w:rPr>
          <w:rFonts w:ascii="Calibri" w:hAnsi="Calibri" w:cs="Calibri"/>
          <w:b/>
          <w:bCs/>
          <w:sz w:val="22"/>
          <w:szCs w:val="22"/>
        </w:rPr>
      </w:pPr>
      <w:r w:rsidRPr="00A116B2">
        <w:rPr>
          <w:rFonts w:ascii="Calibri" w:hAnsi="Calibri" w:cs="Calibri"/>
          <w:b/>
          <w:bCs/>
          <w:sz w:val="22"/>
          <w:szCs w:val="22"/>
        </w:rPr>
        <w:t>Smlouva o poskytnutí společného datového prostředí (CDE) Povodí Ohře</w:t>
      </w:r>
    </w:p>
    <w:p w14:paraId="2D0C6007" w14:textId="77777777" w:rsidR="00A116B2" w:rsidRDefault="00A116B2">
      <w:pPr>
        <w:rPr>
          <w:rFonts w:ascii="Calibri" w:hAnsi="Calibri" w:cs="Calibri"/>
          <w:sz w:val="22"/>
          <w:szCs w:val="22"/>
        </w:rPr>
      </w:pPr>
    </w:p>
    <w:tbl>
      <w:tblPr>
        <w:tblpPr w:leftFromText="141" w:rightFromText="141" w:vertAnchor="page" w:horzAnchor="margin" w:tblpY="241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1"/>
        <w:gridCol w:w="8156"/>
      </w:tblGrid>
      <w:tr w:rsidR="00A116B2" w:rsidRPr="006C11E9" w14:paraId="0F706F23" w14:textId="77777777" w:rsidTr="00A116B2">
        <w:trPr>
          <w:trHeight w:val="25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6A0BC9B" w14:textId="0CD019C8" w:rsidR="00A116B2" w:rsidRPr="00A116B2" w:rsidRDefault="00A116B2" w:rsidP="00A116B2">
            <w:pPr>
              <w:pStyle w:val="Tabulka"/>
              <w:rPr>
                <w:rFonts w:ascii="Calibri" w:hAnsi="Calibri" w:cs="Calibri"/>
              </w:rPr>
            </w:pPr>
            <w:r w:rsidRPr="00A116B2">
              <w:rPr>
                <w:rFonts w:ascii="Calibri" w:hAnsi="Calibri" w:cs="Calibri"/>
                <w:b/>
                <w:bCs/>
              </w:rPr>
              <w:t xml:space="preserve">TP  </w:t>
            </w:r>
            <w:r>
              <w:rPr>
                <w:rFonts w:ascii="Calibri" w:hAnsi="Calibri" w:cs="Calibri"/>
                <w:b/>
                <w:bCs/>
              </w:rPr>
              <w:t xml:space="preserve">             </w:t>
            </w:r>
            <w:r w:rsidRPr="00A116B2">
              <w:rPr>
                <w:rFonts w:ascii="Calibri" w:hAnsi="Calibri" w:cs="Calibri"/>
                <w:b/>
                <w:bCs/>
              </w:rPr>
              <w:t>Podmínky</w:t>
            </w:r>
            <w:r>
              <w:rPr>
                <w:rFonts w:ascii="Calibri" w:hAnsi="Calibri" w:cs="Calibri"/>
                <w:b/>
                <w:bCs/>
              </w:rPr>
              <w:t xml:space="preserve"> Technické podpory</w:t>
            </w:r>
          </w:p>
        </w:tc>
      </w:tr>
      <w:tr w:rsidR="00A116B2" w:rsidRPr="006C11E9" w14:paraId="238C65D0"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7B521D62" w14:textId="7A436D1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1</w:t>
            </w:r>
          </w:p>
        </w:tc>
        <w:tc>
          <w:tcPr>
            <w:tcW w:w="8156" w:type="dxa"/>
            <w:tcBorders>
              <w:top w:val="single" w:sz="4" w:space="0" w:color="auto"/>
              <w:left w:val="single" w:sz="4" w:space="0" w:color="auto"/>
              <w:bottom w:val="single" w:sz="4" w:space="0" w:color="auto"/>
              <w:right w:val="single" w:sz="4" w:space="0" w:color="auto"/>
            </w:tcBorders>
            <w:noWrap/>
          </w:tcPr>
          <w:p w14:paraId="183E27DF" w14:textId="77777777" w:rsidR="00A116B2" w:rsidRPr="00A116B2" w:rsidRDefault="00A116B2" w:rsidP="00A116B2">
            <w:pPr>
              <w:pStyle w:val="Tabulka"/>
              <w:rPr>
                <w:rFonts w:ascii="Calibri" w:hAnsi="Calibri" w:cs="Calibri"/>
              </w:rPr>
            </w:pPr>
            <w:r w:rsidRPr="00A116B2">
              <w:rPr>
                <w:rFonts w:ascii="Calibri" w:hAnsi="Calibri" w:cs="Calibri"/>
              </w:rPr>
              <w:t>Poskytování technické podpory (hotline) musí být zajištěno v pracovní dny od 9:00 do 17:00 a musí být v českém jazyce.</w:t>
            </w:r>
          </w:p>
        </w:tc>
      </w:tr>
      <w:tr w:rsidR="00A116B2" w:rsidRPr="006C11E9" w14:paraId="6E09BFAF"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5C2AA132" w14:textId="3DE7857A"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2</w:t>
            </w:r>
          </w:p>
        </w:tc>
        <w:tc>
          <w:tcPr>
            <w:tcW w:w="8156" w:type="dxa"/>
            <w:tcBorders>
              <w:top w:val="single" w:sz="4" w:space="0" w:color="auto"/>
              <w:left w:val="single" w:sz="4" w:space="0" w:color="auto"/>
              <w:bottom w:val="single" w:sz="4" w:space="0" w:color="auto"/>
              <w:right w:val="single" w:sz="4" w:space="0" w:color="auto"/>
            </w:tcBorders>
            <w:noWrap/>
          </w:tcPr>
          <w:p w14:paraId="6A76E3B0" w14:textId="77777777" w:rsidR="00A116B2" w:rsidRPr="00A116B2" w:rsidRDefault="00A116B2" w:rsidP="00A116B2">
            <w:pPr>
              <w:rPr>
                <w:rFonts w:ascii="Calibri" w:eastAsia="Times New Roman" w:hAnsi="Calibri" w:cs="Calibri"/>
                <w:b/>
                <w:bCs/>
                <w:color w:val="000000"/>
                <w:lang w:eastAsia="cs-CZ"/>
              </w:rPr>
            </w:pPr>
            <w:r w:rsidRPr="00A116B2">
              <w:rPr>
                <w:rFonts w:ascii="Calibri" w:hAnsi="Calibri" w:cs="Calibri"/>
              </w:rPr>
              <w:t xml:space="preserve">Podpora – hotline bude poskytována v pracovní dobu, tj. v pracovních dnech, mimo sobot a nedělí a státem uznaných svátků, od 9:00 do 17:00. Bude-li hlášení provedeno např. v pátek v 16:00, znamená to, že pro 1hodinovou lhůtu pro zahájení prací musí </w:t>
            </w:r>
            <w:r w:rsidRPr="00A116B2">
              <w:rPr>
                <w:rFonts w:ascii="Calibri" w:hAnsi="Calibri" w:cs="Calibri"/>
                <w:color w:val="000000" w:themeColor="text1"/>
              </w:rPr>
              <w:t xml:space="preserve">Dodavatel </w:t>
            </w:r>
            <w:r w:rsidRPr="00A116B2">
              <w:rPr>
                <w:rFonts w:ascii="Calibri" w:hAnsi="Calibri" w:cs="Calibri"/>
              </w:rPr>
              <w:t>začít pracovat na hlášení vady/incidentu do 10:00 prvního pracovního dne v následujícím týdnu.</w:t>
            </w:r>
          </w:p>
        </w:tc>
      </w:tr>
      <w:tr w:rsidR="00A116B2" w:rsidRPr="006C11E9" w14:paraId="26D35FB6"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070B9A3C" w14:textId="58A5CF36"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3</w:t>
            </w:r>
          </w:p>
        </w:tc>
        <w:tc>
          <w:tcPr>
            <w:tcW w:w="8156" w:type="dxa"/>
            <w:tcBorders>
              <w:top w:val="single" w:sz="4" w:space="0" w:color="auto"/>
              <w:left w:val="single" w:sz="4" w:space="0" w:color="auto"/>
              <w:bottom w:val="single" w:sz="4" w:space="0" w:color="auto"/>
              <w:right w:val="single" w:sz="4" w:space="0" w:color="auto"/>
            </w:tcBorders>
            <w:noWrap/>
          </w:tcPr>
          <w:p w14:paraId="6328946F" w14:textId="77777777" w:rsidR="00A116B2" w:rsidRPr="00A116B2" w:rsidRDefault="00A116B2" w:rsidP="00A116B2">
            <w:pPr>
              <w:rPr>
                <w:rFonts w:ascii="Calibri" w:eastAsia="Times New Roman" w:hAnsi="Calibri" w:cs="Calibri"/>
                <w:b/>
                <w:bCs/>
                <w:color w:val="000000"/>
                <w:lang w:eastAsia="cs-CZ"/>
              </w:rPr>
            </w:pPr>
            <w:r w:rsidRPr="00A116B2">
              <w:rPr>
                <w:rFonts w:ascii="Calibri" w:hAnsi="Calibri" w:cs="Calibri"/>
              </w:rPr>
              <w:t xml:space="preserve">Kategorizaci vad bude Zadavatel provádět v emailem zaslaném </w:t>
            </w:r>
            <w:r w:rsidRPr="00A116B2">
              <w:rPr>
                <w:rFonts w:ascii="Calibri" w:hAnsi="Calibri" w:cs="Calibri"/>
                <w:i/>
                <w:iCs/>
              </w:rPr>
              <w:t xml:space="preserve">hlášení o vzniku vady pomocí </w:t>
            </w:r>
            <w:r w:rsidRPr="00A116B2">
              <w:rPr>
                <w:rFonts w:ascii="Calibri" w:hAnsi="Calibri" w:cs="Calibri"/>
              </w:rPr>
              <w:t>e-mailu, případně nástroje poskytnutého </w:t>
            </w:r>
            <w:r w:rsidRPr="00A116B2">
              <w:rPr>
                <w:rFonts w:ascii="Calibri" w:hAnsi="Calibri" w:cs="Calibri"/>
                <w:color w:val="000000" w:themeColor="text1"/>
              </w:rPr>
              <w:t>Dodavatelem (Service Desk)</w:t>
            </w:r>
            <w:r w:rsidRPr="00A116B2">
              <w:rPr>
                <w:rFonts w:ascii="Calibri" w:hAnsi="Calibri" w:cs="Calibri"/>
              </w:rPr>
              <w:t xml:space="preserve">. </w:t>
            </w:r>
          </w:p>
        </w:tc>
      </w:tr>
      <w:tr w:rsidR="00A116B2" w:rsidRPr="006C11E9" w14:paraId="698C31C8"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160B867D" w14:textId="02E429C8"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4</w:t>
            </w:r>
          </w:p>
        </w:tc>
        <w:tc>
          <w:tcPr>
            <w:tcW w:w="8156" w:type="dxa"/>
            <w:tcBorders>
              <w:top w:val="single" w:sz="4" w:space="0" w:color="auto"/>
              <w:left w:val="single" w:sz="4" w:space="0" w:color="auto"/>
              <w:bottom w:val="single" w:sz="4" w:space="0" w:color="auto"/>
              <w:right w:val="single" w:sz="4" w:space="0" w:color="auto"/>
            </w:tcBorders>
            <w:noWrap/>
          </w:tcPr>
          <w:p w14:paraId="533313D2" w14:textId="77777777" w:rsidR="00A116B2" w:rsidRPr="00A116B2" w:rsidRDefault="00A116B2" w:rsidP="00A116B2">
            <w:pPr>
              <w:rPr>
                <w:rFonts w:ascii="Calibri" w:eastAsia="Times New Roman" w:hAnsi="Calibri" w:cs="Calibri"/>
                <w:b/>
                <w:bCs/>
                <w:color w:val="000000"/>
                <w:szCs w:val="20"/>
                <w:lang w:eastAsia="cs-CZ"/>
              </w:rPr>
            </w:pPr>
            <w:r w:rsidRPr="00A116B2">
              <w:rPr>
                <w:rFonts w:ascii="Calibri" w:hAnsi="Calibri" w:cs="Calibri"/>
              </w:rPr>
              <w:t>V průběhu odstraňování vady/incidentu a po dohodě odpovědných osob obou smluvních stran může být upravena kategorie vady.</w:t>
            </w:r>
          </w:p>
        </w:tc>
      </w:tr>
      <w:tr w:rsidR="00A116B2" w:rsidRPr="006C11E9" w14:paraId="6591D9A6"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425EC556" w14:textId="1F7200C9"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5</w:t>
            </w:r>
          </w:p>
        </w:tc>
        <w:tc>
          <w:tcPr>
            <w:tcW w:w="8156" w:type="dxa"/>
            <w:tcBorders>
              <w:top w:val="single" w:sz="4" w:space="0" w:color="auto"/>
              <w:left w:val="single" w:sz="4" w:space="0" w:color="auto"/>
              <w:bottom w:val="single" w:sz="4" w:space="0" w:color="auto"/>
              <w:right w:val="single" w:sz="4" w:space="0" w:color="auto"/>
            </w:tcBorders>
            <w:noWrap/>
          </w:tcPr>
          <w:p w14:paraId="48C53B80" w14:textId="77777777" w:rsidR="00A116B2" w:rsidRPr="00A116B2" w:rsidRDefault="00A116B2" w:rsidP="00A116B2">
            <w:pPr>
              <w:rPr>
                <w:rFonts w:ascii="Calibri" w:hAnsi="Calibri" w:cs="Calibri"/>
              </w:rPr>
            </w:pPr>
            <w:r w:rsidRPr="00A116B2">
              <w:rPr>
                <w:rFonts w:ascii="Calibri" w:hAnsi="Calibri" w:cs="Calibri"/>
              </w:rPr>
              <w:t>Za vyřešení vady/incidentu v dané kategorii bude považováno:</w:t>
            </w:r>
          </w:p>
          <w:p w14:paraId="51886D5F" w14:textId="77777777" w:rsidR="00A116B2" w:rsidRPr="00A116B2" w:rsidRDefault="00A116B2" w:rsidP="00A116B2">
            <w:pPr>
              <w:pStyle w:val="Odstavecseseznamem"/>
              <w:numPr>
                <w:ilvl w:val="0"/>
                <w:numId w:val="1"/>
              </w:numPr>
              <w:spacing w:before="0" w:after="200" w:line="276" w:lineRule="auto"/>
              <w:rPr>
                <w:rFonts w:ascii="Calibri" w:hAnsi="Calibri" w:cs="Calibri"/>
              </w:rPr>
            </w:pPr>
            <w:r w:rsidRPr="00A116B2">
              <w:rPr>
                <w:rFonts w:ascii="Calibri" w:hAnsi="Calibri" w:cs="Calibri"/>
              </w:rPr>
              <w:t xml:space="preserve">odstranění nahlášené vady/incidentu </w:t>
            </w:r>
          </w:p>
          <w:p w14:paraId="79D8C779" w14:textId="77777777" w:rsidR="00A116B2" w:rsidRPr="00A116B2" w:rsidRDefault="00A116B2" w:rsidP="00A116B2">
            <w:pPr>
              <w:pStyle w:val="Odstavecseseznamem"/>
              <w:numPr>
                <w:ilvl w:val="0"/>
                <w:numId w:val="1"/>
              </w:numPr>
              <w:spacing w:before="0" w:after="200" w:line="276" w:lineRule="auto"/>
              <w:rPr>
                <w:rFonts w:ascii="Calibri" w:hAnsi="Calibri" w:cs="Calibri"/>
              </w:rPr>
            </w:pPr>
            <w:r w:rsidRPr="00A116B2">
              <w:rPr>
                <w:rFonts w:ascii="Calibri" w:hAnsi="Calibri" w:cs="Calibri"/>
              </w:rPr>
              <w:t>poskytnutí přijatelného řešení nebo náhradního postupu (poskytnutí návodu na náhradní postup nebo jeho předvedení) </w:t>
            </w:r>
          </w:p>
          <w:p w14:paraId="0C6977BA" w14:textId="77777777" w:rsidR="00A116B2" w:rsidRPr="00A116B2" w:rsidRDefault="00A116B2" w:rsidP="00A116B2">
            <w:pPr>
              <w:pStyle w:val="Odstavecseseznamem"/>
              <w:numPr>
                <w:ilvl w:val="0"/>
                <w:numId w:val="1"/>
              </w:numPr>
              <w:spacing w:before="0" w:after="200" w:line="276" w:lineRule="auto"/>
              <w:rPr>
                <w:rFonts w:ascii="Calibri" w:hAnsi="Calibri" w:cs="Calibri"/>
              </w:rPr>
            </w:pPr>
            <w:r w:rsidRPr="00A116B2">
              <w:rPr>
                <w:rFonts w:ascii="Calibri" w:hAnsi="Calibri" w:cs="Calibri"/>
              </w:rPr>
              <w:t>převedení vady/incidentu do nižší kategorie  </w:t>
            </w:r>
          </w:p>
          <w:p w14:paraId="4522DD55" w14:textId="77777777" w:rsidR="00A116B2" w:rsidRPr="00A116B2" w:rsidRDefault="00A116B2" w:rsidP="00A116B2">
            <w:pPr>
              <w:pStyle w:val="Odstavecseseznamem"/>
              <w:numPr>
                <w:ilvl w:val="0"/>
                <w:numId w:val="1"/>
              </w:numPr>
              <w:rPr>
                <w:rFonts w:ascii="Calibri" w:eastAsia="Times New Roman" w:hAnsi="Calibri" w:cs="Calibri"/>
                <w:b/>
                <w:bCs/>
                <w:color w:val="000000"/>
                <w:szCs w:val="20"/>
                <w:lang w:eastAsia="cs-CZ"/>
              </w:rPr>
            </w:pPr>
            <w:r w:rsidRPr="00A116B2">
              <w:rPr>
                <w:rFonts w:ascii="Calibri" w:hAnsi="Calibri" w:cs="Calibri"/>
              </w:rPr>
              <w:t>postoupení vady/incidentu k vyřešení třetí osobě, prokáže-li </w:t>
            </w:r>
            <w:r w:rsidRPr="00A116B2">
              <w:rPr>
                <w:rFonts w:ascii="Calibri" w:hAnsi="Calibri" w:cs="Calibri"/>
                <w:color w:val="000000" w:themeColor="text1"/>
              </w:rPr>
              <w:t>Dodavatel</w:t>
            </w:r>
            <w:r w:rsidRPr="00A116B2">
              <w:rPr>
                <w:rFonts w:ascii="Calibri" w:hAnsi="Calibri" w:cs="Calibri"/>
              </w:rPr>
              <w:t>, že se jedná o problém vyvolaný nekorektním chováním komponenty dodané třetí osobou, která není součástí dodávky zajišťované </w:t>
            </w:r>
            <w:r w:rsidRPr="00A116B2">
              <w:rPr>
                <w:rFonts w:ascii="Calibri" w:hAnsi="Calibri" w:cs="Calibri"/>
                <w:color w:val="000000" w:themeColor="text1"/>
              </w:rPr>
              <w:t>Dodavatelem</w:t>
            </w:r>
            <w:r w:rsidRPr="00A116B2">
              <w:rPr>
                <w:rFonts w:ascii="Calibri" w:hAnsi="Calibri" w:cs="Calibri"/>
              </w:rPr>
              <w:t>. Doba řešení vady třetí osobou se v takovém případě nezapočítává do lhůt pro odstranění vady </w:t>
            </w:r>
            <w:r w:rsidRPr="00A116B2">
              <w:rPr>
                <w:rFonts w:ascii="Calibri" w:hAnsi="Calibri" w:cs="Calibri"/>
                <w:color w:val="000000" w:themeColor="text1"/>
              </w:rPr>
              <w:t>Dodavatelem</w:t>
            </w:r>
            <w:r w:rsidRPr="00A116B2">
              <w:rPr>
                <w:rFonts w:ascii="Calibri" w:hAnsi="Calibri" w:cs="Calibri"/>
              </w:rPr>
              <w:t>.</w:t>
            </w:r>
          </w:p>
        </w:tc>
      </w:tr>
      <w:tr w:rsidR="00A116B2" w:rsidRPr="006C11E9" w14:paraId="4250F9C5"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275791FE" w14:textId="7CBBB823"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6</w:t>
            </w:r>
          </w:p>
        </w:tc>
        <w:tc>
          <w:tcPr>
            <w:tcW w:w="8156" w:type="dxa"/>
            <w:tcBorders>
              <w:top w:val="single" w:sz="4" w:space="0" w:color="auto"/>
              <w:left w:val="single" w:sz="4" w:space="0" w:color="auto"/>
              <w:bottom w:val="single" w:sz="4" w:space="0" w:color="auto"/>
              <w:right w:val="single" w:sz="4" w:space="0" w:color="auto"/>
            </w:tcBorders>
            <w:noWrap/>
          </w:tcPr>
          <w:p w14:paraId="65888B32" w14:textId="77777777" w:rsidR="00A116B2" w:rsidRPr="00A116B2" w:rsidRDefault="00A116B2" w:rsidP="00A116B2">
            <w:pPr>
              <w:rPr>
                <w:rFonts w:ascii="Calibri" w:eastAsia="Times New Roman" w:hAnsi="Calibri" w:cs="Calibri"/>
                <w:b/>
                <w:bCs/>
                <w:color w:val="000000"/>
                <w:szCs w:val="20"/>
                <w:lang w:eastAsia="cs-CZ"/>
              </w:rPr>
            </w:pPr>
            <w:r w:rsidRPr="00A116B2">
              <w:rPr>
                <w:rFonts w:ascii="Calibri" w:hAnsi="Calibri" w:cs="Calibri"/>
              </w:rPr>
              <w:t>Za čas nahlášení vady/incidentu se považuje v pracovní době čas doručení hlášení na ServiceDesk </w:t>
            </w:r>
            <w:r w:rsidRPr="00A116B2">
              <w:rPr>
                <w:rFonts w:ascii="Calibri" w:hAnsi="Calibri" w:cs="Calibri"/>
                <w:color w:val="000000" w:themeColor="text1"/>
              </w:rPr>
              <w:t>Dodavatele</w:t>
            </w:r>
            <w:r w:rsidRPr="00A116B2">
              <w:rPr>
                <w:rFonts w:ascii="Calibri" w:hAnsi="Calibri" w:cs="Calibri"/>
              </w:rPr>
              <w:t>.</w:t>
            </w:r>
          </w:p>
        </w:tc>
      </w:tr>
      <w:tr w:rsidR="00A116B2" w:rsidRPr="006C11E9" w14:paraId="05DE94B5"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378AD707" w14:textId="123C78E9"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7</w:t>
            </w:r>
          </w:p>
        </w:tc>
        <w:tc>
          <w:tcPr>
            <w:tcW w:w="8156" w:type="dxa"/>
            <w:tcBorders>
              <w:top w:val="single" w:sz="4" w:space="0" w:color="auto"/>
              <w:left w:val="single" w:sz="4" w:space="0" w:color="auto"/>
              <w:bottom w:val="single" w:sz="4" w:space="0" w:color="auto"/>
              <w:right w:val="single" w:sz="4" w:space="0" w:color="auto"/>
            </w:tcBorders>
            <w:noWrap/>
          </w:tcPr>
          <w:p w14:paraId="646806ED" w14:textId="77777777" w:rsidR="00A116B2" w:rsidRPr="00A116B2" w:rsidRDefault="00A116B2" w:rsidP="00A116B2">
            <w:pPr>
              <w:rPr>
                <w:rFonts w:ascii="Calibri" w:eastAsia="Times New Roman" w:hAnsi="Calibri" w:cs="Calibri"/>
                <w:b/>
                <w:bCs/>
                <w:color w:val="000000"/>
                <w:szCs w:val="20"/>
                <w:lang w:eastAsia="cs-CZ"/>
              </w:rPr>
            </w:pPr>
            <w:r w:rsidRPr="00A116B2">
              <w:rPr>
                <w:rFonts w:ascii="Calibri" w:hAnsi="Calibri" w:cs="Calibri"/>
              </w:rPr>
              <w:t>Za čas nahlášení vady/incidentu mimo pracovní dobu se považuje čas zahájení nejbližšího pracovního dne.</w:t>
            </w:r>
          </w:p>
        </w:tc>
      </w:tr>
      <w:tr w:rsidR="00A116B2" w:rsidRPr="006C11E9" w14:paraId="698A1F02"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46FB98BA" w14:textId="1C820586"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8</w:t>
            </w:r>
          </w:p>
        </w:tc>
        <w:tc>
          <w:tcPr>
            <w:tcW w:w="8156" w:type="dxa"/>
            <w:tcBorders>
              <w:top w:val="single" w:sz="4" w:space="0" w:color="auto"/>
              <w:left w:val="single" w:sz="4" w:space="0" w:color="auto"/>
              <w:bottom w:val="single" w:sz="4" w:space="0" w:color="auto"/>
              <w:right w:val="single" w:sz="4" w:space="0" w:color="auto"/>
            </w:tcBorders>
            <w:noWrap/>
          </w:tcPr>
          <w:p w14:paraId="3D1F0185" w14:textId="77777777" w:rsidR="00A116B2" w:rsidRPr="00A116B2" w:rsidRDefault="00A116B2" w:rsidP="00A116B2">
            <w:pPr>
              <w:rPr>
                <w:rFonts w:ascii="Calibri" w:eastAsia="Times New Roman" w:hAnsi="Calibri" w:cs="Calibri"/>
                <w:b/>
                <w:bCs/>
                <w:color w:val="000000"/>
                <w:szCs w:val="20"/>
                <w:lang w:eastAsia="cs-CZ"/>
              </w:rPr>
            </w:pPr>
            <w:r w:rsidRPr="00A116B2">
              <w:rPr>
                <w:rFonts w:ascii="Calibri" w:hAnsi="Calibri" w:cs="Calibri"/>
              </w:rPr>
              <w:t>Lhůty začínají běžet nahlášením vady/incidentu a končí prokazatelným předáním vyřešení vady/incidentu Zadavateli.</w:t>
            </w:r>
          </w:p>
        </w:tc>
      </w:tr>
      <w:tr w:rsidR="00A116B2" w:rsidRPr="006C11E9" w14:paraId="446D84D4" w14:textId="77777777" w:rsidTr="00A116B2">
        <w:trPr>
          <w:trHeight w:val="257"/>
        </w:trPr>
        <w:tc>
          <w:tcPr>
            <w:tcW w:w="911" w:type="dxa"/>
            <w:tcBorders>
              <w:top w:val="single" w:sz="4" w:space="0" w:color="auto"/>
              <w:left w:val="single" w:sz="4" w:space="0" w:color="auto"/>
              <w:bottom w:val="single" w:sz="4" w:space="0" w:color="auto"/>
              <w:right w:val="single" w:sz="4" w:space="0" w:color="auto"/>
            </w:tcBorders>
            <w:noWrap/>
          </w:tcPr>
          <w:p w14:paraId="72D48BCE" w14:textId="021D3CCE"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TP</w:t>
            </w:r>
            <w:r>
              <w:rPr>
                <w:rFonts w:ascii="Calibri" w:eastAsia="Times New Roman" w:hAnsi="Calibri" w:cs="Calibri"/>
                <w:color w:val="000000"/>
                <w:szCs w:val="20"/>
                <w:lang w:eastAsia="cs-CZ"/>
              </w:rPr>
              <w:t>9</w:t>
            </w:r>
          </w:p>
        </w:tc>
        <w:tc>
          <w:tcPr>
            <w:tcW w:w="8156" w:type="dxa"/>
            <w:tcBorders>
              <w:top w:val="single" w:sz="4" w:space="0" w:color="auto"/>
              <w:left w:val="single" w:sz="4" w:space="0" w:color="auto"/>
              <w:bottom w:val="single" w:sz="4" w:space="0" w:color="auto"/>
              <w:right w:val="single" w:sz="4" w:space="0" w:color="auto"/>
            </w:tcBorders>
            <w:noWrap/>
          </w:tcPr>
          <w:p w14:paraId="5F04563E" w14:textId="77777777" w:rsidR="00A116B2" w:rsidRPr="00A116B2" w:rsidRDefault="00A116B2" w:rsidP="00A116B2">
            <w:pPr>
              <w:rPr>
                <w:rFonts w:ascii="Calibri" w:eastAsia="Times New Roman" w:hAnsi="Calibri" w:cs="Calibri"/>
                <w:b/>
                <w:bCs/>
                <w:color w:val="000000"/>
                <w:szCs w:val="20"/>
                <w:lang w:eastAsia="cs-CZ"/>
              </w:rPr>
            </w:pPr>
            <w:r w:rsidRPr="00A116B2">
              <w:rPr>
                <w:rFonts w:ascii="Calibri" w:hAnsi="Calibri" w:cs="Calibri"/>
              </w:rPr>
              <w:t>Do lhůt pro odstranění vady/incidentu se započítává pouze čas v pracovní době.</w:t>
            </w:r>
          </w:p>
        </w:tc>
      </w:tr>
      <w:tr w:rsidR="00A116B2" w:rsidRPr="006C11E9" w14:paraId="7CEFECB0" w14:textId="77777777" w:rsidTr="00A116B2">
        <w:trPr>
          <w:trHeight w:val="257"/>
        </w:trPr>
        <w:tc>
          <w:tcPr>
            <w:tcW w:w="911" w:type="dxa"/>
            <w:tcBorders>
              <w:top w:val="single" w:sz="4" w:space="0" w:color="auto"/>
              <w:left w:val="single" w:sz="4" w:space="0" w:color="auto"/>
              <w:bottom w:val="single" w:sz="4" w:space="0" w:color="auto"/>
              <w:right w:val="nil"/>
            </w:tcBorders>
            <w:shd w:val="clear" w:color="auto" w:fill="F2F2F2" w:themeFill="background1" w:themeFillShade="F2"/>
            <w:noWrap/>
          </w:tcPr>
          <w:p w14:paraId="388D9FF8" w14:textId="77777777" w:rsidR="00A116B2" w:rsidRPr="00A116B2" w:rsidRDefault="00A116B2" w:rsidP="00A116B2">
            <w:pPr>
              <w:spacing w:before="0" w:after="0"/>
              <w:rPr>
                <w:rFonts w:ascii="Calibri" w:eastAsia="Times New Roman" w:hAnsi="Calibri" w:cs="Calibri"/>
                <w:b/>
                <w:bCs/>
                <w:color w:val="000000"/>
                <w:szCs w:val="20"/>
                <w:lang w:eastAsia="cs-CZ"/>
              </w:rPr>
            </w:pPr>
            <w:r w:rsidRPr="00A116B2">
              <w:rPr>
                <w:rFonts w:ascii="Calibri" w:eastAsia="Times New Roman" w:hAnsi="Calibri" w:cs="Calibri"/>
                <w:b/>
                <w:bCs/>
                <w:color w:val="000000"/>
                <w:szCs w:val="20"/>
                <w:lang w:eastAsia="cs-CZ"/>
              </w:rPr>
              <w:t>SL</w:t>
            </w:r>
          </w:p>
        </w:tc>
        <w:tc>
          <w:tcPr>
            <w:tcW w:w="8156" w:type="dxa"/>
            <w:tcBorders>
              <w:top w:val="single" w:sz="4" w:space="0" w:color="auto"/>
              <w:left w:val="nil"/>
              <w:bottom w:val="single" w:sz="4" w:space="0" w:color="auto"/>
              <w:right w:val="nil"/>
            </w:tcBorders>
            <w:shd w:val="clear" w:color="auto" w:fill="F2F2F2" w:themeFill="background1" w:themeFillShade="F2"/>
            <w:noWrap/>
          </w:tcPr>
          <w:p w14:paraId="2C3EB69A"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b/>
                <w:bCs/>
                <w:color w:val="000000"/>
                <w:szCs w:val="20"/>
                <w:lang w:eastAsia="cs-CZ"/>
              </w:rPr>
              <w:t>Kategorizace vad a parametrů SLA</w:t>
            </w:r>
          </w:p>
        </w:tc>
      </w:tr>
      <w:tr w:rsidR="00A116B2" w:rsidRPr="00480BF6" w14:paraId="1A35148E" w14:textId="77777777" w:rsidTr="00A116B2">
        <w:trPr>
          <w:trHeight w:val="257"/>
        </w:trPr>
        <w:tc>
          <w:tcPr>
            <w:tcW w:w="911" w:type="dxa"/>
            <w:tcBorders>
              <w:top w:val="single" w:sz="4" w:space="0" w:color="auto"/>
            </w:tcBorders>
            <w:noWrap/>
          </w:tcPr>
          <w:p w14:paraId="1B58055D"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SL1</w:t>
            </w:r>
          </w:p>
        </w:tc>
        <w:tc>
          <w:tcPr>
            <w:tcW w:w="8156" w:type="dxa"/>
            <w:tcBorders>
              <w:top w:val="single" w:sz="4" w:space="0" w:color="auto"/>
            </w:tcBorders>
            <w:noWrap/>
          </w:tcPr>
          <w:p w14:paraId="1AD28A24"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 xml:space="preserve">Priorita 1 Kritická (A): Software je nedostupné, (není možné ho využívat), Některé nebo všechny části Software selhaly a jsou zcela nefunkční nebo je jejich funkčnost omezena tak, že je kritickým způsobem ovlivněna činnost celého software, zejména – načtení schématu, práce s ním, uložení schématu. </w:t>
            </w:r>
          </w:p>
          <w:p w14:paraId="1A0A5A40" w14:textId="77777777" w:rsidR="00A116B2" w:rsidRPr="00A116B2" w:rsidRDefault="00A116B2" w:rsidP="00A116B2">
            <w:pPr>
              <w:spacing w:before="0" w:after="0"/>
              <w:rPr>
                <w:rFonts w:ascii="Calibri" w:eastAsia="Times New Roman" w:hAnsi="Calibri" w:cs="Calibri"/>
                <w:color w:val="000000"/>
                <w:szCs w:val="20"/>
                <w:lang w:eastAsia="cs-CZ"/>
              </w:rPr>
            </w:pPr>
          </w:p>
        </w:tc>
      </w:tr>
      <w:tr w:rsidR="00A116B2" w14:paraId="5CC11BB6" w14:textId="77777777" w:rsidTr="00A116B2">
        <w:trPr>
          <w:trHeight w:val="257"/>
        </w:trPr>
        <w:tc>
          <w:tcPr>
            <w:tcW w:w="911" w:type="dxa"/>
            <w:noWrap/>
          </w:tcPr>
          <w:p w14:paraId="0162541F"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SL2</w:t>
            </w:r>
          </w:p>
        </w:tc>
        <w:tc>
          <w:tcPr>
            <w:tcW w:w="8156" w:type="dxa"/>
            <w:noWrap/>
          </w:tcPr>
          <w:p w14:paraId="3441D625"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 xml:space="preserve">Priorita 2 Střední (B): Software je funkční pouze částečně.  Některé části selhaly a jsou významně nefunkční nebo je jejich funkčnost omezena tak, že je zásadním způsobem ovlivněna činnost software. Výražně je omezena funkčnost software, provozování aplikací nebo jejich části, ale je zachován provoz software </w:t>
            </w:r>
          </w:p>
        </w:tc>
      </w:tr>
      <w:tr w:rsidR="00A116B2" w14:paraId="12ECBA86" w14:textId="77777777" w:rsidTr="00A116B2">
        <w:trPr>
          <w:trHeight w:val="257"/>
        </w:trPr>
        <w:tc>
          <w:tcPr>
            <w:tcW w:w="911" w:type="dxa"/>
            <w:noWrap/>
          </w:tcPr>
          <w:p w14:paraId="77510B63"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SL3</w:t>
            </w:r>
          </w:p>
        </w:tc>
        <w:tc>
          <w:tcPr>
            <w:tcW w:w="8156" w:type="dxa"/>
            <w:noWrap/>
          </w:tcPr>
          <w:p w14:paraId="7B2EDDA1"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Priorita 3 Nízká (C):</w:t>
            </w:r>
          </w:p>
          <w:p w14:paraId="4FF975AE"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 xml:space="preserve">a. Software je funkční, závada nemá vliv na činnost software. Vyskytují se nedostatky nepodstatné povahy jako je například jednorázové zvýšení doby odezvy software v běžném provozu. </w:t>
            </w:r>
          </w:p>
          <w:p w14:paraId="3024685B"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 xml:space="preserve">b. Zahrnuje selhání funkcí, které nejsou v daný moment využívány nebo nemají žádný vliv na řádnou funkčnost software. </w:t>
            </w:r>
          </w:p>
          <w:p w14:paraId="7FC44438"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 xml:space="preserve">c. Software je plně funkční a vytváří varovné informace související s provozem software.  </w:t>
            </w:r>
          </w:p>
          <w:p w14:paraId="277A1E64" w14:textId="77777777" w:rsidR="00A116B2" w:rsidRPr="00A116B2" w:rsidRDefault="00A116B2" w:rsidP="00A116B2">
            <w:pPr>
              <w:spacing w:before="0" w:after="0"/>
              <w:rPr>
                <w:rFonts w:ascii="Calibri" w:eastAsia="Times New Roman" w:hAnsi="Calibri" w:cs="Calibri"/>
                <w:color w:val="000000"/>
                <w:szCs w:val="20"/>
                <w:lang w:eastAsia="cs-CZ"/>
              </w:rPr>
            </w:pPr>
            <w:r w:rsidRPr="00A116B2">
              <w:rPr>
                <w:rFonts w:ascii="Calibri" w:eastAsia="Times New Roman" w:hAnsi="Calibri" w:cs="Calibri"/>
                <w:color w:val="000000"/>
                <w:szCs w:val="20"/>
                <w:lang w:eastAsia="cs-CZ"/>
              </w:rPr>
              <w:t xml:space="preserve">d. Jiné. </w:t>
            </w:r>
          </w:p>
        </w:tc>
      </w:tr>
    </w:tbl>
    <w:p w14:paraId="14891B91" w14:textId="77777777" w:rsidR="00A116B2" w:rsidRPr="005D2AE8" w:rsidRDefault="00A116B2">
      <w:pPr>
        <w:rPr>
          <w:rFonts w:ascii="Calibri" w:hAnsi="Calibri" w:cs="Calibri"/>
          <w:sz w:val="22"/>
          <w:szCs w:val="22"/>
        </w:rPr>
      </w:pPr>
    </w:p>
    <w:sectPr w:rsidR="00A116B2" w:rsidRPr="005D2AE8" w:rsidSect="00A07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178CD"/>
    <w:multiLevelType w:val="hybridMultilevel"/>
    <w:tmpl w:val="67767AEA"/>
    <w:lvl w:ilvl="0" w:tplc="04050001">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num w:numId="1" w16cid:durableId="53912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A3"/>
    <w:rsid w:val="00050F36"/>
    <w:rsid w:val="001945AC"/>
    <w:rsid w:val="00297BE0"/>
    <w:rsid w:val="00300D52"/>
    <w:rsid w:val="005D2AE8"/>
    <w:rsid w:val="007B7045"/>
    <w:rsid w:val="00A07B6F"/>
    <w:rsid w:val="00A116B2"/>
    <w:rsid w:val="00BF1354"/>
    <w:rsid w:val="00C465B7"/>
    <w:rsid w:val="00C51BC7"/>
    <w:rsid w:val="00DE77A3"/>
    <w:rsid w:val="00F22BBB"/>
    <w:rsid w:val="00FC4EF7"/>
    <w:rsid w:val="00FF0AC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F443"/>
  <w15:chartTrackingRefBased/>
  <w15:docId w15:val="{B65CBE26-AF48-4350-8323-8225D3FA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abulka"/>
    <w:qFormat/>
    <w:rsid w:val="00DE77A3"/>
    <w:pPr>
      <w:spacing w:before="60" w:after="60" w:line="240" w:lineRule="auto"/>
    </w:pPr>
    <w:rPr>
      <w:rFonts w:ascii="Times New Roman" w:hAnsi="Times New Roman"/>
      <w:sz w:val="20"/>
      <w:szCs w:val="24"/>
      <w14:ligatures w14:val="none"/>
    </w:rPr>
  </w:style>
  <w:style w:type="paragraph" w:styleId="Nadpis1">
    <w:name w:val="heading 1"/>
    <w:basedOn w:val="Normln"/>
    <w:next w:val="Normln"/>
    <w:link w:val="Nadpis1Char"/>
    <w:uiPriority w:val="9"/>
    <w:qFormat/>
    <w:rsid w:val="00DE7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E7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E77A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E77A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E77A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E77A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E77A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E77A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E77A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E77A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E77A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E77A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E77A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E77A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E77A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E77A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E77A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E77A3"/>
    <w:rPr>
      <w:rFonts w:eastAsiaTheme="majorEastAsia" w:cstheme="majorBidi"/>
      <w:color w:val="272727" w:themeColor="text1" w:themeTint="D8"/>
    </w:rPr>
  </w:style>
  <w:style w:type="paragraph" w:styleId="Nzev">
    <w:name w:val="Title"/>
    <w:basedOn w:val="Normln"/>
    <w:next w:val="Normln"/>
    <w:link w:val="NzevChar"/>
    <w:uiPriority w:val="10"/>
    <w:qFormat/>
    <w:rsid w:val="00DE77A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E77A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E77A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E77A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E77A3"/>
    <w:pPr>
      <w:spacing w:before="160"/>
      <w:jc w:val="center"/>
    </w:pPr>
    <w:rPr>
      <w:i/>
      <w:iCs/>
      <w:color w:val="404040" w:themeColor="text1" w:themeTint="BF"/>
    </w:rPr>
  </w:style>
  <w:style w:type="character" w:customStyle="1" w:styleId="CittChar">
    <w:name w:val="Citát Char"/>
    <w:basedOn w:val="Standardnpsmoodstavce"/>
    <w:link w:val="Citt"/>
    <w:uiPriority w:val="29"/>
    <w:rsid w:val="00DE77A3"/>
    <w:rPr>
      <w:i/>
      <w:iCs/>
      <w:color w:val="404040" w:themeColor="text1" w:themeTint="BF"/>
    </w:rPr>
  </w:style>
  <w:style w:type="paragraph" w:styleId="Odstavecseseznamem">
    <w:name w:val="List Paragraph"/>
    <w:aliases w:val="Nad,Odstavec cíl se seznamem,Odstavec se seznamem5,Odstavec_muj,Odrážky,Odrážka vínová"/>
    <w:basedOn w:val="Normln"/>
    <w:link w:val="OdstavecseseznamemChar"/>
    <w:uiPriority w:val="34"/>
    <w:qFormat/>
    <w:rsid w:val="00DE77A3"/>
    <w:pPr>
      <w:ind w:left="720"/>
      <w:contextualSpacing/>
    </w:pPr>
  </w:style>
  <w:style w:type="character" w:styleId="Zdraznnintenzivn">
    <w:name w:val="Intense Emphasis"/>
    <w:basedOn w:val="Standardnpsmoodstavce"/>
    <w:uiPriority w:val="21"/>
    <w:qFormat/>
    <w:rsid w:val="00DE77A3"/>
    <w:rPr>
      <w:i/>
      <w:iCs/>
      <w:color w:val="0F4761" w:themeColor="accent1" w:themeShade="BF"/>
    </w:rPr>
  </w:style>
  <w:style w:type="paragraph" w:styleId="Vrazncitt">
    <w:name w:val="Intense Quote"/>
    <w:basedOn w:val="Normln"/>
    <w:next w:val="Normln"/>
    <w:link w:val="VrazncittChar"/>
    <w:uiPriority w:val="30"/>
    <w:qFormat/>
    <w:rsid w:val="00DE7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E77A3"/>
    <w:rPr>
      <w:i/>
      <w:iCs/>
      <w:color w:val="0F4761" w:themeColor="accent1" w:themeShade="BF"/>
    </w:rPr>
  </w:style>
  <w:style w:type="character" w:styleId="Odkazintenzivn">
    <w:name w:val="Intense Reference"/>
    <w:basedOn w:val="Standardnpsmoodstavce"/>
    <w:uiPriority w:val="32"/>
    <w:qFormat/>
    <w:rsid w:val="00DE77A3"/>
    <w:rPr>
      <w:b/>
      <w:bCs/>
      <w:smallCaps/>
      <w:color w:val="0F4761" w:themeColor="accent1" w:themeShade="BF"/>
      <w:spacing w:val="5"/>
    </w:rPr>
  </w:style>
  <w:style w:type="character" w:customStyle="1" w:styleId="OdstavecseseznamemChar">
    <w:name w:val="Odstavec se seznamem Char"/>
    <w:aliases w:val="Nad Char,Odstavec cíl se seznamem Char,Odstavec se seznamem5 Char,Odstavec_muj Char,Odrážky Char,Odrážka vínová Char"/>
    <w:basedOn w:val="Standardnpsmoodstavce"/>
    <w:link w:val="Odstavecseseznamem"/>
    <w:uiPriority w:val="34"/>
    <w:locked/>
    <w:rsid w:val="00DE77A3"/>
  </w:style>
  <w:style w:type="paragraph" w:customStyle="1" w:styleId="Tabulka">
    <w:name w:val="Tabulka"/>
    <w:basedOn w:val="Normln"/>
    <w:link w:val="TabulkaChar"/>
    <w:qFormat/>
    <w:rsid w:val="00DE77A3"/>
    <w:rPr>
      <w:rFonts w:eastAsia="Times New Roman" w:cs="Times New Roman"/>
      <w:color w:val="000000"/>
      <w:szCs w:val="20"/>
      <w:lang w:eastAsia="cs-CZ"/>
    </w:rPr>
  </w:style>
  <w:style w:type="character" w:customStyle="1" w:styleId="TabulkaChar">
    <w:name w:val="Tabulka Char"/>
    <w:basedOn w:val="Standardnpsmoodstavce"/>
    <w:link w:val="Tabulka"/>
    <w:rsid w:val="00DE77A3"/>
    <w:rPr>
      <w:rFonts w:ascii="Times New Roman" w:eastAsia="Times New Roman" w:hAnsi="Times New Roman" w:cs="Times New Roman"/>
      <w:color w:val="00000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f1404015e76b2785b45e8596e307d9b4">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cacefb246145a9db898cc420b0cf78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9C71D-57FE-4CC3-A81E-2B7D7D7FA5F6}">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F61B40A8-E02D-4F5B-BAA1-EE58B25AB68A}">
  <ds:schemaRefs>
    <ds:schemaRef ds:uri="http://schemas.microsoft.com/sharepoint/v3/contenttype/forms"/>
  </ds:schemaRefs>
</ds:datastoreItem>
</file>

<file path=customXml/itemProps3.xml><?xml version="1.0" encoding="utf-8"?>
<ds:datastoreItem xmlns:ds="http://schemas.openxmlformats.org/officeDocument/2006/customXml" ds:itemID="{16616307-C831-4E01-9D99-A9C7E593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438</Words>
  <Characters>2585</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KAROLAS</cp:lastModifiedBy>
  <cp:revision>4</cp:revision>
  <dcterms:created xsi:type="dcterms:W3CDTF">2026-01-29T15:38:00Z</dcterms:created>
  <dcterms:modified xsi:type="dcterms:W3CDTF">2026-02-23T14:51:00Z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