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1E6DF386" w:rsidR="00B0410B" w:rsidRPr="00873861" w:rsidRDefault="00834CC5" w:rsidP="003A17BA">
            <w:pPr>
              <w:spacing w:line="276" w:lineRule="auto"/>
              <w:rPr>
                <w:rFonts w:ascii="Arial" w:eastAsia="Calibri" w:hAnsi="Arial" w:cs="Arial"/>
                <w:b/>
                <w:sz w:val="20"/>
                <w:szCs w:val="20"/>
              </w:rPr>
            </w:pPr>
            <w:r w:rsidRPr="00834CC5">
              <w:rPr>
                <w:rFonts w:ascii="Arial" w:hAnsi="Arial" w:cs="Arial"/>
                <w:b/>
                <w:sz w:val="20"/>
                <w:szCs w:val="20"/>
              </w:rPr>
              <w:t>Haná, km 0,000 - 11,900, hrázové propusti, modernizace</w:t>
            </w:r>
            <w:r w:rsidR="009F54F4" w:rsidRPr="00873861">
              <w:rPr>
                <w:rFonts w:ascii="Arial" w:hAnsi="Arial" w:cs="Arial"/>
                <w:b/>
                <w:sz w:val="20"/>
                <w:szCs w:val="20"/>
              </w:rPr>
              <w:t xml:space="preserve"> </w:t>
            </w:r>
            <w:bookmarkStart w:id="0" w:name="_Hlk220410538"/>
            <w:r w:rsidR="009F54F4" w:rsidRPr="00873861">
              <w:rPr>
                <w:rFonts w:ascii="Arial" w:hAnsi="Arial" w:cs="Arial"/>
                <w:b/>
                <w:sz w:val="20"/>
                <w:szCs w:val="20"/>
              </w:rPr>
              <w:t>-</w:t>
            </w:r>
            <w:bookmarkEnd w:id="0"/>
            <w:r w:rsidR="009F54F4" w:rsidRPr="00873861">
              <w:rPr>
                <w:rFonts w:ascii="Arial" w:hAnsi="Arial" w:cs="Arial"/>
                <w:b/>
                <w:sz w:val="20"/>
                <w:szCs w:val="20"/>
              </w:rPr>
              <w:t xml:space="preserve"> </w:t>
            </w:r>
            <w:r w:rsidR="009F54F4" w:rsidRPr="00873861">
              <w:rPr>
                <w:rFonts w:ascii="Arial" w:eastAsia="Times New Roman" w:hAnsi="Arial" w:cs="Arial"/>
                <w:b/>
                <w:sz w:val="20"/>
                <w:szCs w:val="20"/>
              </w:rPr>
              <w:t>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CB48B4" w:rsidRPr="006546D4" w14:paraId="2B7D0375" w14:textId="77777777" w:rsidTr="00B0410B">
        <w:trPr>
          <w:trHeight w:val="340"/>
          <w:jc w:val="center"/>
        </w:trPr>
        <w:tc>
          <w:tcPr>
            <w:tcW w:w="1829" w:type="pct"/>
            <w:shd w:val="clear" w:color="auto" w:fill="D9D9D9"/>
            <w:vAlign w:val="center"/>
          </w:tcPr>
          <w:p w14:paraId="5376B174" w14:textId="77777777" w:rsidR="00CB48B4" w:rsidRPr="006546D4" w:rsidRDefault="00CB48B4" w:rsidP="00CB48B4">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05C3213A" w:rsidR="00CB48B4" w:rsidRPr="000C57DC" w:rsidRDefault="000C57DC" w:rsidP="00CB48B4">
            <w:pPr>
              <w:spacing w:line="276" w:lineRule="auto"/>
              <w:rPr>
                <w:rFonts w:ascii="Arial" w:eastAsia="Calibri" w:hAnsi="Arial" w:cs="Arial"/>
                <w:color w:val="0000FF"/>
                <w:sz w:val="20"/>
                <w:szCs w:val="20"/>
                <w:u w:val="single"/>
                <w:lang w:eastAsia="cs-CZ"/>
              </w:rPr>
            </w:pPr>
            <w:hyperlink r:id="rId8" w:history="1">
              <w:r w:rsidRPr="000C57DC">
                <w:rPr>
                  <w:rStyle w:val="Hypertextovodkaz"/>
                  <w:rFonts w:ascii="Arial" w:hAnsi="Arial" w:cs="Arial"/>
                  <w:sz w:val="20"/>
                  <w:szCs w:val="20"/>
                </w:rPr>
                <w:t>https://zakazky.eagri.cz/contract_display_21501.html</w:t>
              </w:r>
            </w:hyperlink>
            <w:r w:rsidRPr="000C57DC">
              <w:rPr>
                <w:rFonts w:ascii="Arial" w:hAnsi="Arial" w:cs="Arial"/>
                <w:sz w:val="20"/>
                <w:szCs w:val="20"/>
              </w:rPr>
              <w:t xml:space="preserve"> </w:t>
            </w:r>
            <w:r w:rsidR="0001635C" w:rsidRPr="000C57DC">
              <w:rPr>
                <w:rFonts w:ascii="Arial" w:hAnsi="Arial" w:cs="Arial"/>
                <w:sz w:val="20"/>
                <w:szCs w:val="20"/>
              </w:rPr>
              <w:t xml:space="preserve"> </w:t>
            </w:r>
            <w:r w:rsidR="00CB48B4" w:rsidRPr="000C57DC">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bookmarkStart w:id="1" w:name="_GoBack"/>
      <w:bookmarkEnd w:id="1"/>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374B41" w:rsidRDefault="00B0410B" w:rsidP="00B0410B">
                <w:pPr>
                  <w:spacing w:line="276" w:lineRule="auto"/>
                  <w:rPr>
                    <w:rFonts w:ascii="Arial" w:eastAsia="Calibri" w:hAnsi="Arial" w:cs="Arial"/>
                    <w:b/>
                    <w:sz w:val="20"/>
                    <w:szCs w:val="20"/>
                    <w:highlight w:val="lightGray"/>
                  </w:rPr>
                </w:pPr>
                <w:r w:rsidRPr="00374B41">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sdt>
            <w:sdtPr>
              <w:rPr>
                <w:rFonts w:ascii="Arial" w:eastAsia="Calibri" w:hAnsi="Arial" w:cs="Arial"/>
                <w:b/>
                <w:sz w:val="20"/>
                <w:szCs w:val="20"/>
                <w:highlight w:val="lightGray"/>
              </w:rPr>
              <w:id w:val="980889890"/>
              <w:placeholder>
                <w:docPart w:val="DefaultPlaceholder_-1854013440"/>
              </w:placeholder>
            </w:sdtPr>
            <w:sdtEndPr/>
            <w:sdtContent>
              <w:p w14:paraId="6A002E74" w14:textId="17B93124" w:rsidR="00B66CCB" w:rsidRPr="00374B41" w:rsidRDefault="00B66CCB" w:rsidP="00DE78F7">
                <w:pPr>
                  <w:spacing w:line="276" w:lineRule="auto"/>
                  <w:jc w:val="both"/>
                  <w:rPr>
                    <w:rFonts w:ascii="Arial" w:eastAsia="Calibri" w:hAnsi="Arial" w:cs="Arial"/>
                    <w:b/>
                    <w:bCs/>
                    <w:sz w:val="20"/>
                    <w:szCs w:val="20"/>
                    <w:highlight w:val="lightGray"/>
                  </w:rPr>
                </w:pPr>
                <w:r w:rsidRPr="00374B41">
                  <w:rPr>
                    <w:rFonts w:ascii="Arial" w:eastAsia="Calibri" w:hAnsi="Arial" w:cs="Arial"/>
                    <w:b/>
                    <w:sz w:val="20"/>
                    <w:szCs w:val="20"/>
                    <w:highlight w:val="lightGray"/>
                  </w:rPr>
                  <w:t>Uveďte cenu bez DPH 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374B41" w:rsidRDefault="000C57DC" w:rsidP="00DE78F7">
            <w:pPr>
              <w:spacing w:line="276" w:lineRule="auto"/>
              <w:jc w:val="both"/>
              <w:rPr>
                <w:rFonts w:ascii="Arial" w:eastAsia="Calibri" w:hAnsi="Arial" w:cs="Arial"/>
                <w:b/>
                <w:sz w:val="20"/>
                <w:szCs w:val="20"/>
                <w:highlight w:val="lightGray"/>
              </w:rPr>
            </w:pPr>
            <w:sdt>
              <w:sdtPr>
                <w:rPr>
                  <w:rFonts w:ascii="Arial" w:eastAsia="Calibri" w:hAnsi="Arial" w:cs="Arial"/>
                  <w:b/>
                  <w:sz w:val="20"/>
                  <w:szCs w:val="20"/>
                  <w:highlight w:val="lightGray"/>
                </w:rPr>
                <w:id w:val="-464740351"/>
                <w:placeholder>
                  <w:docPart w:val="DefaultPlaceholder_-1854013440"/>
                </w:placeholder>
              </w:sdtPr>
              <w:sdtEndPr/>
              <w:sdtContent>
                <w:r w:rsidR="00B66CCB" w:rsidRPr="00374B41">
                  <w:rPr>
                    <w:rFonts w:ascii="Arial" w:eastAsia="Calibri" w:hAnsi="Arial" w:cs="Arial"/>
                    <w:b/>
                    <w:sz w:val="20"/>
                    <w:szCs w:val="20"/>
                    <w:highlight w:val="lightGray"/>
                  </w:rPr>
                  <w:t>Počet zakázek</w:t>
                </w:r>
              </w:sdtContent>
            </w:sdt>
            <w:r w:rsidR="00B66CCB" w:rsidRPr="00374B41">
              <w:rPr>
                <w:rFonts w:ascii="Arial" w:eastAsia="Calibri" w:hAnsi="Arial" w:cs="Arial"/>
                <w:b/>
                <w:sz w:val="20"/>
                <w:szCs w:val="20"/>
                <w:highlight w:val="lightGray"/>
              </w:rPr>
              <w:t xml:space="preserve"> </w:t>
            </w:r>
          </w:p>
          <w:p w14:paraId="257FAEBD" w14:textId="77777777" w:rsidR="00B66CCB" w:rsidRPr="00374B41" w:rsidRDefault="00B66CCB" w:rsidP="00DE78F7">
            <w:pPr>
              <w:spacing w:line="276" w:lineRule="auto"/>
              <w:jc w:val="both"/>
              <w:rPr>
                <w:rFonts w:ascii="Arial" w:eastAsia="Calibri" w:hAnsi="Arial" w:cs="Arial"/>
                <w:b/>
                <w:sz w:val="20"/>
                <w:szCs w:val="20"/>
                <w:highlight w:val="lightGray"/>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62EE3210"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6703709E" w14:textId="0A045151" w:rsidR="009F54F4" w:rsidRDefault="009F54F4" w:rsidP="006F3D3B">
      <w:pPr>
        <w:rPr>
          <w:rFonts w:ascii="Arial" w:hAnsi="Arial" w:cs="Arial"/>
          <w:sz w:val="20"/>
          <w:szCs w:val="20"/>
        </w:rPr>
      </w:pPr>
    </w:p>
    <w:tbl>
      <w:tblPr>
        <w:tblStyle w:val="Mkatabulky"/>
        <w:tblW w:w="0" w:type="auto"/>
        <w:tblInd w:w="421" w:type="dxa"/>
        <w:tblLook w:val="04A0" w:firstRow="1" w:lastRow="0" w:firstColumn="1" w:lastColumn="0" w:noHBand="0" w:noVBand="1"/>
      </w:tblPr>
      <w:tblGrid>
        <w:gridCol w:w="5811"/>
        <w:gridCol w:w="2268"/>
      </w:tblGrid>
      <w:tr w:rsidR="00531460" w:rsidRPr="00CA7D54" w14:paraId="55AC2776" w14:textId="77777777" w:rsidTr="00531460">
        <w:tc>
          <w:tcPr>
            <w:tcW w:w="5811" w:type="dxa"/>
          </w:tcPr>
          <w:p w14:paraId="51EAF409" w14:textId="22A0A91A" w:rsidR="00531460" w:rsidRPr="009F54F4" w:rsidRDefault="00531460" w:rsidP="00E63354">
            <w:pPr>
              <w:jc w:val="center"/>
              <w:rPr>
                <w:rFonts w:ascii="Arial" w:hAnsi="Arial" w:cs="Arial"/>
                <w:b/>
                <w:sz w:val="20"/>
                <w:szCs w:val="20"/>
              </w:rPr>
            </w:pPr>
            <w:r w:rsidRPr="009F54F4">
              <w:rPr>
                <w:rFonts w:ascii="Arial" w:hAnsi="Arial" w:cs="Arial"/>
                <w:b/>
                <w:sz w:val="20"/>
                <w:szCs w:val="20"/>
              </w:rPr>
              <w:t>Část Díla</w:t>
            </w:r>
          </w:p>
        </w:tc>
        <w:tc>
          <w:tcPr>
            <w:tcW w:w="2268" w:type="dxa"/>
          </w:tcPr>
          <w:p w14:paraId="3DA0DA2E" w14:textId="56F7A2C6" w:rsidR="00531460" w:rsidRPr="009F54F4" w:rsidRDefault="00531460" w:rsidP="00E63354">
            <w:pPr>
              <w:jc w:val="center"/>
              <w:rPr>
                <w:rFonts w:ascii="Arial" w:hAnsi="Arial" w:cs="Arial"/>
                <w:b/>
                <w:sz w:val="20"/>
                <w:szCs w:val="20"/>
              </w:rPr>
            </w:pPr>
            <w:r w:rsidRPr="009F54F4">
              <w:rPr>
                <w:rFonts w:ascii="Arial" w:hAnsi="Arial" w:cs="Arial"/>
                <w:b/>
                <w:sz w:val="20"/>
                <w:szCs w:val="20"/>
              </w:rPr>
              <w:t>Cena bez DPH</w:t>
            </w:r>
            <w:r>
              <w:rPr>
                <w:rFonts w:ascii="Arial" w:hAnsi="Arial" w:cs="Arial"/>
                <w:b/>
                <w:sz w:val="20"/>
                <w:szCs w:val="20"/>
              </w:rPr>
              <w:t xml:space="preserve"> v Kč</w:t>
            </w:r>
          </w:p>
        </w:tc>
      </w:tr>
      <w:tr w:rsidR="00834CC5" w14:paraId="3547ED1F" w14:textId="77777777" w:rsidTr="00E6514D">
        <w:tc>
          <w:tcPr>
            <w:tcW w:w="5811" w:type="dxa"/>
            <w:vAlign w:val="center"/>
          </w:tcPr>
          <w:p w14:paraId="18BF6106" w14:textId="29D24EA4" w:rsidR="00834CC5" w:rsidRPr="00834CC5" w:rsidRDefault="00834CC5" w:rsidP="00834CC5">
            <w:pPr>
              <w:jc w:val="both"/>
              <w:rPr>
                <w:rFonts w:ascii="Arial" w:hAnsi="Arial" w:cs="Arial"/>
                <w:sz w:val="20"/>
                <w:szCs w:val="20"/>
              </w:rPr>
            </w:pPr>
            <w:r w:rsidRPr="00834CC5">
              <w:rPr>
                <w:rFonts w:ascii="Arial" w:hAnsi="Arial" w:cs="Arial"/>
                <w:sz w:val="20"/>
                <w:szCs w:val="20"/>
              </w:rPr>
              <w:t>Průzkumné práce – geodetické práce, rozbory sedimentů, inventarizace dřevin, stavebně-technický průzkum</w:t>
            </w:r>
          </w:p>
        </w:tc>
        <w:tc>
          <w:tcPr>
            <w:tcW w:w="2268" w:type="dxa"/>
          </w:tcPr>
          <w:p w14:paraId="00F9F00F" w14:textId="77777777" w:rsidR="00834CC5" w:rsidRPr="009F54F4" w:rsidRDefault="00834CC5" w:rsidP="00834CC5">
            <w:pPr>
              <w:jc w:val="both"/>
              <w:rPr>
                <w:rFonts w:ascii="Arial" w:hAnsi="Arial" w:cs="Arial"/>
                <w:sz w:val="20"/>
                <w:szCs w:val="20"/>
              </w:rPr>
            </w:pPr>
          </w:p>
        </w:tc>
      </w:tr>
      <w:tr w:rsidR="00834CC5" w14:paraId="30A5ACA3" w14:textId="77777777" w:rsidTr="002820D3">
        <w:tc>
          <w:tcPr>
            <w:tcW w:w="5811" w:type="dxa"/>
          </w:tcPr>
          <w:p w14:paraId="4B1E2609" w14:textId="51A43106" w:rsidR="00834CC5" w:rsidRPr="00834CC5" w:rsidRDefault="00834CC5" w:rsidP="00834CC5">
            <w:pPr>
              <w:jc w:val="both"/>
              <w:rPr>
                <w:rFonts w:ascii="Arial" w:hAnsi="Arial" w:cs="Arial"/>
                <w:sz w:val="20"/>
                <w:szCs w:val="20"/>
              </w:rPr>
            </w:pPr>
            <w:r w:rsidRPr="00834CC5">
              <w:rPr>
                <w:rFonts w:ascii="Arial" w:hAnsi="Arial" w:cs="Arial"/>
                <w:sz w:val="20"/>
                <w:szCs w:val="20"/>
              </w:rPr>
              <w:t xml:space="preserve">Biologické hodnocení, popř. biologické posouzení </w:t>
            </w:r>
          </w:p>
        </w:tc>
        <w:tc>
          <w:tcPr>
            <w:tcW w:w="2268" w:type="dxa"/>
          </w:tcPr>
          <w:p w14:paraId="5EA60A23" w14:textId="77777777" w:rsidR="00834CC5" w:rsidRPr="009F54F4" w:rsidRDefault="00834CC5" w:rsidP="00834CC5">
            <w:pPr>
              <w:jc w:val="both"/>
              <w:rPr>
                <w:rFonts w:ascii="Arial" w:hAnsi="Arial" w:cs="Arial"/>
                <w:sz w:val="20"/>
                <w:szCs w:val="20"/>
              </w:rPr>
            </w:pPr>
          </w:p>
        </w:tc>
      </w:tr>
      <w:tr w:rsidR="00834CC5" w14:paraId="389D518D" w14:textId="77777777" w:rsidTr="00E6514D">
        <w:tc>
          <w:tcPr>
            <w:tcW w:w="5811" w:type="dxa"/>
            <w:vAlign w:val="center"/>
          </w:tcPr>
          <w:p w14:paraId="53BB5E35" w14:textId="5DD9E580" w:rsidR="00834CC5" w:rsidRPr="00834CC5" w:rsidRDefault="00834CC5" w:rsidP="00834CC5">
            <w:pPr>
              <w:rPr>
                <w:rFonts w:ascii="Arial" w:hAnsi="Arial" w:cs="Arial"/>
                <w:sz w:val="20"/>
                <w:szCs w:val="20"/>
              </w:rPr>
            </w:pPr>
            <w:r w:rsidRPr="00834CC5">
              <w:rPr>
                <w:rFonts w:ascii="Arial" w:hAnsi="Arial" w:cs="Arial"/>
                <w:sz w:val="20"/>
                <w:szCs w:val="20"/>
              </w:rPr>
              <w:t xml:space="preserve">DSP </w:t>
            </w:r>
          </w:p>
        </w:tc>
        <w:tc>
          <w:tcPr>
            <w:tcW w:w="2268" w:type="dxa"/>
          </w:tcPr>
          <w:p w14:paraId="561A08EB" w14:textId="77777777" w:rsidR="00834CC5" w:rsidRPr="009F54F4" w:rsidRDefault="00834CC5" w:rsidP="00834CC5">
            <w:pPr>
              <w:jc w:val="both"/>
              <w:rPr>
                <w:rFonts w:ascii="Arial" w:hAnsi="Arial" w:cs="Arial"/>
                <w:sz w:val="20"/>
                <w:szCs w:val="20"/>
              </w:rPr>
            </w:pPr>
          </w:p>
        </w:tc>
      </w:tr>
      <w:tr w:rsidR="00834CC5" w14:paraId="41CBD263" w14:textId="77777777" w:rsidTr="00E6514D">
        <w:tc>
          <w:tcPr>
            <w:tcW w:w="5811" w:type="dxa"/>
            <w:vAlign w:val="center"/>
          </w:tcPr>
          <w:p w14:paraId="05CAA437" w14:textId="21997EB1" w:rsidR="00834CC5" w:rsidRPr="00834CC5" w:rsidRDefault="00834CC5" w:rsidP="00834CC5">
            <w:pPr>
              <w:jc w:val="both"/>
              <w:rPr>
                <w:rFonts w:ascii="Arial" w:hAnsi="Arial" w:cs="Arial"/>
                <w:sz w:val="20"/>
                <w:szCs w:val="20"/>
              </w:rPr>
            </w:pPr>
            <w:r w:rsidRPr="00834CC5">
              <w:rPr>
                <w:rFonts w:ascii="Arial" w:hAnsi="Arial" w:cs="Arial"/>
                <w:sz w:val="20"/>
                <w:szCs w:val="20"/>
              </w:rPr>
              <w:t xml:space="preserve">DPS </w:t>
            </w:r>
          </w:p>
        </w:tc>
        <w:tc>
          <w:tcPr>
            <w:tcW w:w="2268" w:type="dxa"/>
          </w:tcPr>
          <w:p w14:paraId="4A0A987D" w14:textId="77777777" w:rsidR="00834CC5" w:rsidRPr="009F54F4" w:rsidRDefault="00834CC5" w:rsidP="00834CC5">
            <w:pPr>
              <w:jc w:val="both"/>
              <w:rPr>
                <w:rFonts w:ascii="Arial" w:hAnsi="Arial" w:cs="Arial"/>
                <w:sz w:val="20"/>
                <w:szCs w:val="20"/>
              </w:rPr>
            </w:pPr>
          </w:p>
        </w:tc>
      </w:tr>
      <w:tr w:rsidR="00834CC5" w14:paraId="74DB6ACB" w14:textId="77777777" w:rsidTr="00E6514D">
        <w:tc>
          <w:tcPr>
            <w:tcW w:w="5811" w:type="dxa"/>
            <w:vAlign w:val="center"/>
          </w:tcPr>
          <w:p w14:paraId="0E4CBFD3" w14:textId="189E0E51" w:rsidR="00834CC5" w:rsidRPr="00834CC5" w:rsidRDefault="00834CC5" w:rsidP="00834CC5">
            <w:pPr>
              <w:jc w:val="both"/>
              <w:rPr>
                <w:rFonts w:ascii="Arial" w:hAnsi="Arial" w:cs="Arial"/>
                <w:sz w:val="20"/>
                <w:szCs w:val="20"/>
              </w:rPr>
            </w:pPr>
            <w:r w:rsidRPr="00834CC5">
              <w:rPr>
                <w:rFonts w:ascii="Arial" w:hAnsi="Arial" w:cs="Arial"/>
                <w:sz w:val="20"/>
                <w:szCs w:val="20"/>
              </w:rPr>
              <w:t>Plán BOZP</w:t>
            </w:r>
          </w:p>
        </w:tc>
        <w:tc>
          <w:tcPr>
            <w:tcW w:w="2268" w:type="dxa"/>
          </w:tcPr>
          <w:p w14:paraId="3167C41D" w14:textId="77777777" w:rsidR="00834CC5" w:rsidRPr="009F54F4" w:rsidRDefault="00834CC5" w:rsidP="00834CC5">
            <w:pPr>
              <w:jc w:val="both"/>
              <w:rPr>
                <w:rFonts w:ascii="Arial" w:hAnsi="Arial" w:cs="Arial"/>
                <w:sz w:val="20"/>
                <w:szCs w:val="20"/>
              </w:rPr>
            </w:pPr>
          </w:p>
        </w:tc>
      </w:tr>
      <w:tr w:rsidR="00834CC5" w14:paraId="2A2A9750" w14:textId="77777777" w:rsidTr="00E6514D">
        <w:tc>
          <w:tcPr>
            <w:tcW w:w="5811" w:type="dxa"/>
            <w:vAlign w:val="center"/>
          </w:tcPr>
          <w:p w14:paraId="209CDAEB" w14:textId="0297EDE1" w:rsidR="00834CC5" w:rsidRPr="00834CC5" w:rsidRDefault="00834CC5" w:rsidP="00834CC5">
            <w:pPr>
              <w:jc w:val="both"/>
              <w:rPr>
                <w:rFonts w:ascii="Arial" w:hAnsi="Arial" w:cs="Arial"/>
                <w:sz w:val="20"/>
                <w:szCs w:val="20"/>
              </w:rPr>
            </w:pPr>
            <w:r w:rsidRPr="00834CC5">
              <w:rPr>
                <w:rFonts w:ascii="Arial" w:hAnsi="Arial" w:cs="Arial"/>
                <w:sz w:val="20"/>
                <w:szCs w:val="20"/>
              </w:rPr>
              <w:t>Inženýrská činnost včetně poplatků</w:t>
            </w:r>
          </w:p>
        </w:tc>
        <w:tc>
          <w:tcPr>
            <w:tcW w:w="2268" w:type="dxa"/>
          </w:tcPr>
          <w:p w14:paraId="3C8735E0" w14:textId="77777777" w:rsidR="00834CC5" w:rsidRPr="009F54F4" w:rsidRDefault="00834CC5" w:rsidP="00834CC5">
            <w:pPr>
              <w:jc w:val="both"/>
              <w:rPr>
                <w:rFonts w:ascii="Arial" w:hAnsi="Arial" w:cs="Arial"/>
                <w:sz w:val="20"/>
                <w:szCs w:val="20"/>
              </w:rPr>
            </w:pPr>
          </w:p>
        </w:tc>
      </w:tr>
      <w:tr w:rsidR="00531460" w14:paraId="293A986E" w14:textId="77777777" w:rsidTr="00531460">
        <w:tc>
          <w:tcPr>
            <w:tcW w:w="5811" w:type="dxa"/>
          </w:tcPr>
          <w:p w14:paraId="79A31A69" w14:textId="5BE67F0C" w:rsidR="00531460" w:rsidRPr="00531460" w:rsidRDefault="00531460" w:rsidP="00531460">
            <w:pPr>
              <w:rPr>
                <w:rFonts w:ascii="Arial" w:hAnsi="Arial" w:cs="Arial"/>
                <w:sz w:val="20"/>
                <w:szCs w:val="20"/>
              </w:rPr>
            </w:pPr>
            <w:r w:rsidRPr="00531460">
              <w:rPr>
                <w:rFonts w:ascii="Arial" w:hAnsi="Arial" w:cs="Arial"/>
                <w:b/>
                <w:sz w:val="20"/>
                <w:szCs w:val="20"/>
              </w:rPr>
              <w:t>CELKEM (cena Díla)</w:t>
            </w:r>
          </w:p>
        </w:tc>
        <w:tc>
          <w:tcPr>
            <w:tcW w:w="2268" w:type="dxa"/>
          </w:tcPr>
          <w:p w14:paraId="0139395E" w14:textId="77777777" w:rsidR="00531460" w:rsidRPr="009F54F4" w:rsidRDefault="00531460" w:rsidP="00531460">
            <w:pPr>
              <w:jc w:val="both"/>
              <w:rPr>
                <w:rFonts w:ascii="Arial" w:hAnsi="Arial" w:cs="Arial"/>
                <w:sz w:val="20"/>
                <w:szCs w:val="20"/>
              </w:rPr>
            </w:pPr>
          </w:p>
        </w:tc>
      </w:tr>
    </w:tbl>
    <w:p w14:paraId="5CF87B7A" w14:textId="77777777" w:rsidR="00441949" w:rsidRDefault="00441949" w:rsidP="00B66CCB">
      <w:pPr>
        <w:spacing w:before="120" w:after="120" w:line="276" w:lineRule="auto"/>
        <w:rPr>
          <w:rFonts w:ascii="Arial" w:eastAsia="Calibri" w:hAnsi="Arial" w:cs="Arial"/>
          <w:sz w:val="20"/>
          <w:szCs w:val="20"/>
          <w:lang w:eastAsia="cs-CZ"/>
        </w:rPr>
      </w:pPr>
    </w:p>
    <w:p w14:paraId="1050E4C4" w14:textId="53B4DFBF"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5ADBCC32" w14:textId="3D358F94" w:rsidR="00685DBA" w:rsidRDefault="00685DBA" w:rsidP="00A9419C">
      <w:pPr>
        <w:rPr>
          <w:rFonts w:ascii="Arial" w:eastAsia="Calibri" w:hAnsi="Arial" w:cs="Arial"/>
          <w:sz w:val="20"/>
          <w:szCs w:val="20"/>
          <w:lang w:eastAsia="cs-CZ"/>
        </w:rPr>
      </w:pPr>
    </w:p>
    <w:p w14:paraId="4AD1EC71" w14:textId="77777777" w:rsidR="00685DBA" w:rsidRPr="00B66CCB" w:rsidRDefault="00685DBA"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highlight w:val="lightGray"/>
            <w:lang w:eastAsia="cs-CZ"/>
          </w:rPr>
          <w:id w:val="429162955"/>
          <w:placeholder>
            <w:docPart w:val="DefaultPlaceholder_-1854013440"/>
          </w:placeholder>
        </w:sdtPr>
        <w:sdtEndPr>
          <w:rPr>
            <w:rFonts w:eastAsia="MS Mincho"/>
            <w:lang w:eastAsia="en-US"/>
          </w:rPr>
        </w:sdtEndPr>
        <w:sdtContent>
          <w:r w:rsidRPr="00374B41">
            <w:rPr>
              <w:rFonts w:ascii="Arial" w:hAnsi="Arial" w:cs="Arial"/>
              <w:sz w:val="20"/>
              <w:szCs w:val="20"/>
              <w:highlight w:val="lightGray"/>
            </w:rPr>
            <w:t>obchodní firma</w:t>
          </w:r>
        </w:sdtContent>
      </w:sdt>
    </w:p>
    <w:p w14:paraId="0A3951C8" w14:textId="28198D96" w:rsidR="00545516" w:rsidRDefault="00A9419C" w:rsidP="00711A53">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35C"/>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57DC"/>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0BEB"/>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205F"/>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4B41"/>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4F2"/>
    <w:rsid w:val="0040375E"/>
    <w:rsid w:val="00404CBF"/>
    <w:rsid w:val="00412A28"/>
    <w:rsid w:val="00416FF3"/>
    <w:rsid w:val="004173EA"/>
    <w:rsid w:val="00423CE7"/>
    <w:rsid w:val="00424A12"/>
    <w:rsid w:val="00424F25"/>
    <w:rsid w:val="00431C81"/>
    <w:rsid w:val="00436FC4"/>
    <w:rsid w:val="00440851"/>
    <w:rsid w:val="00441949"/>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1460"/>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1A53"/>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CC5"/>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3861"/>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9F54F4"/>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48B4"/>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501.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8124A"/>
    <w:rsid w:val="002B7F3C"/>
    <w:rsid w:val="00423CE7"/>
    <w:rsid w:val="004F4284"/>
    <w:rsid w:val="005C3064"/>
    <w:rsid w:val="00772B59"/>
    <w:rsid w:val="009071F4"/>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4F4284"/>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5431D7CD8C6642A19050B5A5952C9800">
    <w:name w:val="5431D7CD8C6642A19050B5A5952C9800"/>
    <w:rsid w:val="004F4284"/>
  </w:style>
  <w:style w:type="paragraph" w:customStyle="1" w:styleId="35ED14C061444F3EABEDD1F6849A2BB0">
    <w:name w:val="35ED14C061444F3EABEDD1F6849A2BB0"/>
    <w:rsid w:val="004F4284"/>
  </w:style>
  <w:style w:type="paragraph" w:customStyle="1" w:styleId="04C184F205524F00ADD2F7E2307C866D">
    <w:name w:val="04C184F205524F00ADD2F7E2307C866D"/>
    <w:rsid w:val="004F4284"/>
  </w:style>
  <w:style w:type="paragraph" w:customStyle="1" w:styleId="3308CC528F4740CA81313C4E1A30CA33">
    <w:name w:val="3308CC528F4740CA81313C4E1A30CA33"/>
    <w:rsid w:val="004F4284"/>
  </w:style>
  <w:style w:type="paragraph" w:customStyle="1" w:styleId="D0887691FBCC47FC8FEF8154A045C6A1">
    <w:name w:val="D0887691FBCC47FC8FEF8154A045C6A1"/>
    <w:rsid w:val="004F4284"/>
  </w:style>
  <w:style w:type="paragraph" w:customStyle="1" w:styleId="F1E8B74D92684DA0A4610241DA91523F">
    <w:name w:val="F1E8B74D92684DA0A4610241DA91523F"/>
    <w:rsid w:val="004F4284"/>
  </w:style>
  <w:style w:type="paragraph" w:customStyle="1" w:styleId="AD9858F6046D4D5B852554F9EB36D7C6">
    <w:name w:val="AD9858F6046D4D5B852554F9EB36D7C6"/>
    <w:rsid w:val="004F4284"/>
  </w:style>
  <w:style w:type="paragraph" w:customStyle="1" w:styleId="7040500BC6D946B0AA09773D88195B85">
    <w:name w:val="7040500BC6D946B0AA09773D88195B85"/>
    <w:rsid w:val="004F4284"/>
  </w:style>
  <w:style w:type="paragraph" w:customStyle="1" w:styleId="9B59738690D54072994F4986123833F6">
    <w:name w:val="9B59738690D54072994F4986123833F6"/>
    <w:rsid w:val="004F4284"/>
  </w:style>
  <w:style w:type="paragraph" w:customStyle="1" w:styleId="8C38B9770F84402FA14FE66BC948B116">
    <w:name w:val="8C38B9770F84402FA14FE66BC948B116"/>
    <w:rsid w:val="004F4284"/>
  </w:style>
  <w:style w:type="paragraph" w:customStyle="1" w:styleId="B778E1ED87AC4965827898538E4950C3">
    <w:name w:val="B778E1ED87AC4965827898538E4950C3"/>
    <w:rsid w:val="004F4284"/>
  </w:style>
  <w:style w:type="paragraph" w:customStyle="1" w:styleId="DCB0FB921413497495723263DD28284E">
    <w:name w:val="DCB0FB921413497495723263DD28284E"/>
    <w:rsid w:val="004F4284"/>
  </w:style>
  <w:style w:type="paragraph" w:customStyle="1" w:styleId="20D234CFB9004DAB869640F197428044">
    <w:name w:val="20D234CFB9004DAB869640F197428044"/>
    <w:rsid w:val="004F4284"/>
  </w:style>
  <w:style w:type="paragraph" w:customStyle="1" w:styleId="831B4E8F3D4B4B5489F42E835013E138">
    <w:name w:val="831B4E8F3D4B4B5489F42E835013E138"/>
    <w:rsid w:val="004F4284"/>
  </w:style>
  <w:style w:type="paragraph" w:customStyle="1" w:styleId="19507E919F084A21AF40F7DBF0985F9B">
    <w:name w:val="19507E919F084A21AF40F7DBF0985F9B"/>
    <w:rsid w:val="004F4284"/>
  </w:style>
  <w:style w:type="paragraph" w:customStyle="1" w:styleId="2FBE54198C34487596ED55C492B1C332">
    <w:name w:val="2FBE54198C34487596ED55C492B1C332"/>
    <w:rsid w:val="004F4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A70CC-DE38-40F6-BC92-704477A7A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Pages>
  <Words>625</Words>
  <Characters>4215</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4831</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76</cp:revision>
  <cp:lastPrinted>2026-03-16T08:13:00Z</cp:lastPrinted>
  <dcterms:created xsi:type="dcterms:W3CDTF">2024-02-22T09:43:00Z</dcterms:created>
  <dcterms:modified xsi:type="dcterms:W3CDTF">2026-03-17T10:10:00Z</dcterms:modified>
</cp:coreProperties>
</file>