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DA4DE1" w:rsidP="00377989">
            <w:pPr>
              <w:rPr>
                <w:highlight w:val="yellow"/>
              </w:rPr>
            </w:pPr>
            <w:r w:rsidRPr="00DA4DE1">
              <w:t>222260003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915D97" w:rsidP="00377989">
            <w:r>
              <w:t>Ing. Vítězslav Marek, technik inženýrských činností</w:t>
            </w:r>
            <w:r w:rsidR="00377989">
              <w:t xml:space="preserve"> 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915D97" w:rsidP="005B794D">
            <w:r>
              <w:t xml:space="preserve">Ing. Michaela Janovská, </w:t>
            </w:r>
            <w:r w:rsidRPr="00915D97">
              <w:t>technik inženýrských činností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915D97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915D97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915D97" w:rsidRPr="00915D97">
        <w:rPr>
          <w:b/>
        </w:rPr>
        <w:t>Vrchlice, Malešov, sjezd do koryta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CB5B7A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915D97" w:rsidRPr="00915D97">
        <w:t>Ing. Martin Herman</w:t>
      </w:r>
      <w:r w:rsidR="00CB5B7A" w:rsidRPr="00CB5B7A">
        <w:t xml:space="preserve">, ČKAIT </w:t>
      </w:r>
      <w:r w:rsidR="00915D97" w:rsidRPr="00915D97">
        <w:t>0601853</w:t>
      </w:r>
      <w:r w:rsidR="00CB5B7A" w:rsidRPr="00CB5B7A">
        <w:t xml:space="preserve">, </w:t>
      </w:r>
      <w:r w:rsidR="00915D97" w:rsidRPr="00915D97">
        <w:t xml:space="preserve">VIS – </w:t>
      </w:r>
      <w:proofErr w:type="spellStart"/>
      <w:r w:rsidR="00915D97" w:rsidRPr="00915D97">
        <w:t>Vodohospodá</w:t>
      </w:r>
      <w:r w:rsidR="00915D97">
        <w:t>ř</w:t>
      </w:r>
      <w:r w:rsidR="00915D97" w:rsidRPr="00915D97">
        <w:t>sko</w:t>
      </w:r>
      <w:proofErr w:type="spellEnd"/>
      <w:r w:rsidR="00915D97" w:rsidRPr="00915D97">
        <w:t xml:space="preserve"> – inženýrské služby spol. s r. o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915D97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915D97" w:rsidRPr="00915D97">
        <w:rPr>
          <w:b/>
        </w:rPr>
        <w:t>Vrchlice, Malešov, sjezd do koryta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D25583">
        <w:rPr>
          <w:b/>
        </w:rPr>
        <w:t>červen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0C3384" w:rsidRPr="000C3384">
        <w:rPr>
          <w:b/>
        </w:rPr>
        <w:t xml:space="preserve">nejpozději do </w:t>
      </w:r>
      <w:r w:rsidR="00813810" w:rsidRPr="000C3384">
        <w:rPr>
          <w:b/>
        </w:rPr>
        <w:t>3</w:t>
      </w:r>
      <w:r w:rsidR="005E6426" w:rsidRPr="000C3384">
        <w:rPr>
          <w:b/>
        </w:rPr>
        <w:t>0</w:t>
      </w:r>
      <w:r w:rsidR="005B794D" w:rsidRPr="000C3384">
        <w:rPr>
          <w:b/>
        </w:rPr>
        <w:t xml:space="preserve">. </w:t>
      </w:r>
      <w:r w:rsidR="00915D97">
        <w:rPr>
          <w:b/>
        </w:rPr>
        <w:t>11</w:t>
      </w:r>
      <w:r w:rsidR="005B794D" w:rsidRPr="000C3384">
        <w:rPr>
          <w:b/>
        </w:rPr>
        <w:t>. 202</w:t>
      </w:r>
      <w:r w:rsidR="00826E87" w:rsidRPr="000C3384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C32297" w:rsidRDefault="00C32297" w:rsidP="00042F28">
      <w:pPr>
        <w:ind w:left="709" w:hanging="425"/>
      </w:pPr>
    </w:p>
    <w:p w:rsidR="00C32297" w:rsidRDefault="00C32297" w:rsidP="00042F28">
      <w:pPr>
        <w:ind w:left="709" w:hanging="425"/>
      </w:pPr>
    </w:p>
    <w:p w:rsidR="00C32297" w:rsidRDefault="00C32297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C32297">
        <w:t xml:space="preserve">, zejména pak: </w:t>
      </w:r>
    </w:p>
    <w:p w:rsidR="00C32297" w:rsidRDefault="00C32297" w:rsidP="00C32297">
      <w:pPr>
        <w:ind w:left="716"/>
        <w:jc w:val="both"/>
      </w:pPr>
    </w:p>
    <w:p w:rsidR="00AB7134" w:rsidRPr="003D09C1" w:rsidRDefault="00C32297" w:rsidP="00C32297">
      <w:pPr>
        <w:pStyle w:val="Odstavecseseznamem"/>
        <w:numPr>
          <w:ilvl w:val="0"/>
          <w:numId w:val="12"/>
        </w:numPr>
        <w:ind w:left="993" w:hanging="284"/>
        <w:jc w:val="both"/>
      </w:pPr>
      <w:r w:rsidRPr="00C32297">
        <w:t>ROZHODNUTÍ</w:t>
      </w:r>
      <w:r>
        <w:t xml:space="preserve">, POVOLENÍ STAVBY, č. j.: </w:t>
      </w:r>
      <w:r w:rsidRPr="00C32297">
        <w:t>MKH/073147/2025</w:t>
      </w:r>
      <w:r>
        <w:t xml:space="preserve">, ze dne 30. 7. 2025, které vydal </w:t>
      </w:r>
      <w:r w:rsidRPr="00C32297">
        <w:t>MĚSTSKÝ ÚŘAD KUTNÁ HORA</w:t>
      </w:r>
      <w:r>
        <w:t>, stavební úřad</w:t>
      </w: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0C3384" w:rsidRPr="000C3384">
        <w:t>22. 2. 2026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</w:t>
      </w:r>
      <w:r w:rsidR="00180B81">
        <w:t>)</w:t>
      </w:r>
      <w:r w:rsidRPr="00D634E0">
        <w:t xml:space="preserve">, body </w:t>
      </w:r>
      <w:r w:rsidR="000052FF">
        <w:t xml:space="preserve">5, 6 </w:t>
      </w:r>
      <w:r w:rsidRPr="00D634E0">
        <w:t xml:space="preserve"> 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</w:t>
      </w:r>
      <w:r w:rsidR="00880015">
        <w:t>)</w:t>
      </w:r>
      <w:r w:rsidRPr="00D634E0">
        <w:t>, body</w:t>
      </w:r>
      <w:r w:rsidR="000008F3">
        <w:t xml:space="preserve"> </w:t>
      </w:r>
      <w:r w:rsidR="00880015">
        <w:t>43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880015" w:rsidRPr="00D634E0" w:rsidRDefault="00880015" w:rsidP="00D634E0">
      <w:pPr>
        <w:pStyle w:val="Odstavecseseznamem"/>
        <w:numPr>
          <w:ilvl w:val="0"/>
          <w:numId w:val="11"/>
        </w:numPr>
      </w:pPr>
      <w:r>
        <w:t>článek 12., ods</w:t>
      </w:r>
      <w:r w:rsidR="000052FF">
        <w:t xml:space="preserve">tavec 12.2, písmeno </w:t>
      </w:r>
      <w:r>
        <w:t>f)</w:t>
      </w:r>
      <w:r w:rsidR="000052FF">
        <w:t xml:space="preserve"> a o)</w:t>
      </w:r>
      <w:bookmarkStart w:id="0" w:name="_GoBack"/>
      <w:bookmarkEnd w:id="0"/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915D97" w:rsidP="000E35CD">
          <w:pPr>
            <w:pStyle w:val="Zpat"/>
            <w:rPr>
              <w:sz w:val="16"/>
              <w:szCs w:val="16"/>
            </w:rPr>
          </w:pPr>
          <w:r w:rsidRPr="00915D97">
            <w:rPr>
              <w:sz w:val="16"/>
              <w:szCs w:val="16"/>
            </w:rPr>
            <w:t>Vrchlice, Malešov, sjezd do koryta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DA4DE1" w:rsidRPr="00DA4DE1">
            <w:rPr>
              <w:sz w:val="16"/>
              <w:szCs w:val="16"/>
            </w:rPr>
            <w:t>222260003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0052FF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40E91"/>
    <w:multiLevelType w:val="hybridMultilevel"/>
    <w:tmpl w:val="0B82CF3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9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52FF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C3384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0B81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D50E6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3B79"/>
    <w:rsid w:val="00861465"/>
    <w:rsid w:val="0086758B"/>
    <w:rsid w:val="00870C80"/>
    <w:rsid w:val="00880015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5D97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871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D178A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2297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25583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A4DE1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4B1B811C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2EDC-8EA9-49DE-8F31-044F53C6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109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38</cp:revision>
  <cp:lastPrinted>2019-02-25T12:36:00Z</cp:lastPrinted>
  <dcterms:created xsi:type="dcterms:W3CDTF">2025-03-04T12:15:00Z</dcterms:created>
  <dcterms:modified xsi:type="dcterms:W3CDTF">2026-02-10T08:54:00Z</dcterms:modified>
</cp:coreProperties>
</file>