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E" w:rsidRPr="00DB38CE" w:rsidRDefault="000974AE" w:rsidP="000974AE">
      <w:pPr>
        <w:rPr>
          <w:rStyle w:val="formdata"/>
          <w:rFonts w:cstheme="minorHAnsi"/>
          <w:b/>
          <w:bCs/>
          <w:color w:val="333333"/>
          <w:sz w:val="28"/>
          <w:szCs w:val="28"/>
        </w:rPr>
      </w:pPr>
      <w:r w:rsidRPr="00DB38CE">
        <w:rPr>
          <w:rStyle w:val="formdata"/>
          <w:rFonts w:cstheme="minorHAnsi"/>
          <w:b/>
          <w:bCs/>
          <w:color w:val="333333"/>
          <w:sz w:val="28"/>
          <w:szCs w:val="28"/>
        </w:rPr>
        <w:t xml:space="preserve">Hodnotící kritéria </w:t>
      </w:r>
    </w:p>
    <w:p w:rsidR="000974AE" w:rsidRPr="00DB38CE" w:rsidRDefault="000974AE" w:rsidP="000974AE">
      <w:pPr>
        <w:pStyle w:val="Odstavecseseznamem"/>
        <w:ind w:left="2160"/>
        <w:rPr>
          <w:rFonts w:cstheme="minorHAnsi"/>
        </w:rPr>
      </w:pPr>
    </w:p>
    <w:p w:rsidR="000974AE" w:rsidRPr="00DB38CE" w:rsidRDefault="000974AE" w:rsidP="000974AE">
      <w:pPr>
        <w:pStyle w:val="Odstavecseseznamem"/>
        <w:numPr>
          <w:ilvl w:val="0"/>
          <w:numId w:val="1"/>
        </w:numPr>
        <w:rPr>
          <w:rFonts w:cstheme="minorHAnsi"/>
        </w:rPr>
      </w:pPr>
      <w:r w:rsidRPr="00DB38CE">
        <w:rPr>
          <w:rFonts w:cstheme="minorHAnsi"/>
        </w:rPr>
        <w:t>Kontaktní akce</w:t>
      </w:r>
    </w:p>
    <w:p w:rsidR="000974AE" w:rsidRPr="00DB38CE" w:rsidRDefault="000974AE" w:rsidP="000974AE">
      <w:pPr>
        <w:pStyle w:val="Odstavecseseznamem"/>
        <w:numPr>
          <w:ilvl w:val="1"/>
          <w:numId w:val="1"/>
        </w:numPr>
        <w:rPr>
          <w:rFonts w:cstheme="minorHAnsi"/>
        </w:rPr>
      </w:pPr>
      <w:r w:rsidRPr="00DB38CE">
        <w:rPr>
          <w:rFonts w:cstheme="minorHAnsi"/>
        </w:rPr>
        <w:t>60 % Nabídková cena</w:t>
      </w:r>
    </w:p>
    <w:p w:rsidR="000974AE" w:rsidRPr="00DB38CE" w:rsidRDefault="000974AE" w:rsidP="000974AE">
      <w:pPr>
        <w:pStyle w:val="Odstavecseseznamem"/>
        <w:numPr>
          <w:ilvl w:val="1"/>
          <w:numId w:val="1"/>
        </w:numPr>
        <w:rPr>
          <w:rFonts w:cstheme="minorHAnsi"/>
        </w:rPr>
      </w:pPr>
      <w:r w:rsidRPr="00DB38CE">
        <w:rPr>
          <w:rFonts w:cstheme="minorHAnsi"/>
        </w:rPr>
        <w:t>40 % Kvalita</w:t>
      </w:r>
    </w:p>
    <w:p w:rsidR="000974AE" w:rsidRPr="00DB38CE" w:rsidRDefault="000974AE" w:rsidP="000974AE">
      <w:pPr>
        <w:pStyle w:val="Odstavecseseznamem"/>
        <w:numPr>
          <w:ilvl w:val="2"/>
          <w:numId w:val="1"/>
        </w:numPr>
        <w:ind w:left="1418" w:hanging="698"/>
        <w:rPr>
          <w:rFonts w:cstheme="minorHAnsi"/>
        </w:rPr>
      </w:pPr>
      <w:r w:rsidRPr="00DB38CE">
        <w:rPr>
          <w:rFonts w:cstheme="minorHAnsi"/>
        </w:rPr>
        <w:t>10 % Kvalita modelového scénáře prezentační akce</w:t>
      </w:r>
    </w:p>
    <w:p w:rsidR="000974AE" w:rsidRPr="00DB38CE" w:rsidRDefault="000974AE" w:rsidP="000974AE">
      <w:pPr>
        <w:pStyle w:val="Odstavecseseznamem"/>
        <w:numPr>
          <w:ilvl w:val="2"/>
          <w:numId w:val="1"/>
        </w:numPr>
        <w:ind w:left="1418" w:hanging="698"/>
        <w:rPr>
          <w:rFonts w:cstheme="minorHAnsi"/>
        </w:rPr>
      </w:pPr>
      <w:r w:rsidRPr="00DB38CE">
        <w:rPr>
          <w:rFonts w:cstheme="minorHAnsi"/>
        </w:rPr>
        <w:t>10 % Návrh akce na míru v obchodních sítích</w:t>
      </w:r>
    </w:p>
    <w:p w:rsidR="000974AE" w:rsidRPr="00DB38CE" w:rsidRDefault="000974AE" w:rsidP="000974AE">
      <w:pPr>
        <w:pStyle w:val="Odstavecseseznamem"/>
        <w:numPr>
          <w:ilvl w:val="2"/>
          <w:numId w:val="1"/>
        </w:numPr>
        <w:ind w:left="1418" w:hanging="698"/>
        <w:rPr>
          <w:rFonts w:cstheme="minorHAnsi"/>
        </w:rPr>
      </w:pPr>
      <w:r w:rsidRPr="00DB38CE">
        <w:rPr>
          <w:rFonts w:cstheme="minorHAnsi"/>
        </w:rPr>
        <w:t>10 % Návrh akce pro školy</w:t>
      </w:r>
    </w:p>
    <w:p w:rsidR="000974AE" w:rsidRPr="00DB38CE" w:rsidRDefault="000974AE" w:rsidP="000974AE">
      <w:pPr>
        <w:pStyle w:val="Odstavecseseznamem"/>
        <w:numPr>
          <w:ilvl w:val="2"/>
          <w:numId w:val="1"/>
        </w:numPr>
        <w:ind w:left="1418" w:hanging="698"/>
        <w:rPr>
          <w:rFonts w:cstheme="minorHAnsi"/>
        </w:rPr>
      </w:pPr>
      <w:r w:rsidRPr="00DB38CE">
        <w:rPr>
          <w:rFonts w:cstheme="minorHAnsi"/>
        </w:rPr>
        <w:t>10 % Návrh školy vaření pro profesionální kuchaře</w:t>
      </w:r>
    </w:p>
    <w:p w:rsidR="000974AE" w:rsidRPr="00DB38CE" w:rsidRDefault="000974AE" w:rsidP="000974AE">
      <w:pPr>
        <w:pStyle w:val="Odstavecseseznamem"/>
        <w:ind w:left="1440"/>
        <w:rPr>
          <w:rFonts w:cstheme="minorHAnsi"/>
        </w:rPr>
      </w:pPr>
    </w:p>
    <w:p w:rsidR="000974AE" w:rsidRPr="00DB38CE" w:rsidRDefault="000974AE" w:rsidP="000974AE">
      <w:pPr>
        <w:rPr>
          <w:rFonts w:cstheme="minorHAnsi"/>
        </w:rPr>
      </w:pPr>
      <w:bookmarkStart w:id="0" w:name="_GoBack"/>
      <w:bookmarkEnd w:id="0"/>
    </w:p>
    <w:p w:rsidR="000974AE" w:rsidRPr="00DB38CE" w:rsidRDefault="000974AE" w:rsidP="000974AE">
      <w:pPr>
        <w:pStyle w:val="Odstavecseseznamem"/>
        <w:numPr>
          <w:ilvl w:val="0"/>
          <w:numId w:val="3"/>
        </w:numPr>
        <w:ind w:left="284" w:hanging="284"/>
        <w:rPr>
          <w:rFonts w:cstheme="minorHAnsi"/>
          <w:b/>
        </w:rPr>
      </w:pPr>
      <w:r w:rsidRPr="00DB38CE">
        <w:rPr>
          <w:rFonts w:cstheme="minorHAnsi"/>
          <w:b/>
          <w:bCs/>
        </w:rPr>
        <w:t>Kontaktní akce</w:t>
      </w:r>
    </w:p>
    <w:p w:rsidR="000974AE" w:rsidRPr="00DB38CE" w:rsidRDefault="000974AE" w:rsidP="000974AE">
      <w:pPr>
        <w:rPr>
          <w:rFonts w:cstheme="minorHAnsi"/>
          <w:bCs/>
        </w:rPr>
      </w:pPr>
      <w:r w:rsidRPr="00DB38CE">
        <w:rPr>
          <w:rFonts w:cstheme="minorHAnsi"/>
          <w:bCs/>
        </w:rPr>
        <w:t xml:space="preserve">Základním hodnotícím kritériem pro zadání veřejné zakázky Prezentace sladkovodní akvakultury v letech 2017 a 2018 část zakázky č. 3: </w:t>
      </w:r>
      <w:r w:rsidRPr="00DB38CE">
        <w:rPr>
          <w:rFonts w:cstheme="minorHAnsi"/>
          <w:bCs/>
          <w:i/>
        </w:rPr>
        <w:t xml:space="preserve">Kontaktní akce </w:t>
      </w:r>
      <w:r w:rsidRPr="00DB38CE">
        <w:rPr>
          <w:rFonts w:cstheme="minorHAnsi"/>
          <w:bCs/>
        </w:rPr>
        <w:t>je ekonomická výhodnost nabídek na základě poměru nabídkové ceny a kvality.</w:t>
      </w:r>
    </w:p>
    <w:p w:rsidR="000974AE" w:rsidRPr="00DB38CE" w:rsidRDefault="000974AE" w:rsidP="000974AE">
      <w:pPr>
        <w:rPr>
          <w:rFonts w:cstheme="minorHAnsi"/>
          <w:bCs/>
        </w:rPr>
      </w:pPr>
    </w:p>
    <w:p w:rsidR="000974AE" w:rsidRPr="00DB38CE" w:rsidRDefault="000974AE" w:rsidP="000974AE">
      <w:pPr>
        <w:pStyle w:val="Odstavecseseznamem"/>
        <w:numPr>
          <w:ilvl w:val="1"/>
          <w:numId w:val="8"/>
        </w:numPr>
        <w:jc w:val="both"/>
        <w:rPr>
          <w:rFonts w:cstheme="minorHAnsi"/>
          <w:b/>
        </w:rPr>
      </w:pPr>
      <w:r w:rsidRPr="00DB38CE">
        <w:rPr>
          <w:rFonts w:cstheme="minorHAnsi"/>
          <w:b/>
        </w:rPr>
        <w:t>Nabídková cena – 60%</w:t>
      </w:r>
    </w:p>
    <w:p w:rsidR="000974AE" w:rsidRPr="00DB38CE" w:rsidRDefault="000974AE" w:rsidP="000974AE">
      <w:pPr>
        <w:jc w:val="both"/>
        <w:rPr>
          <w:rFonts w:cstheme="minorHAnsi"/>
        </w:rPr>
      </w:pPr>
      <w:r w:rsidRPr="00DB38CE">
        <w:rPr>
          <w:rFonts w:cstheme="minorHAnsi"/>
        </w:rPr>
        <w:t xml:space="preserve">V rámci hodnotícího kritéria </w:t>
      </w:r>
      <w:r w:rsidRPr="00DB38CE">
        <w:rPr>
          <w:rFonts w:cstheme="minorHAnsi"/>
          <w:b/>
        </w:rPr>
        <w:t>Nabídková cena</w:t>
      </w:r>
      <w:r w:rsidRPr="00DB38CE">
        <w:rPr>
          <w:rFonts w:cstheme="minorHAnsi"/>
        </w:rPr>
        <w:t xml:space="preserve"> bude hodnocena Σ jednotkových cen položek přesně specifikovaných v katalogovém listu na roky 2017 - 2018.</w:t>
      </w:r>
    </w:p>
    <w:p w:rsidR="000974AE" w:rsidRPr="00DB38CE" w:rsidRDefault="000974AE" w:rsidP="000974AE">
      <w:pPr>
        <w:jc w:val="both"/>
        <w:rPr>
          <w:rFonts w:cstheme="minorHAnsi"/>
        </w:rPr>
      </w:pPr>
      <w:r w:rsidRPr="00DB38CE">
        <w:rPr>
          <w:rFonts w:cstheme="minorHAnsi"/>
        </w:rPr>
        <w:t>Uvedené ceny musí obsahovat zisk a veškeré náklady k výrobě předmětu veřejné zakázky včetně nákladů souvisejících (např. daně, pojištění, veškeré dopravní náklady, zvýšené náklady vyplývající z obchodních podmínek, balné apod.) a budou platné po celou dobu realizace předmětu plnění.</w:t>
      </w:r>
    </w:p>
    <w:p w:rsidR="000974AE" w:rsidRPr="00DB38CE" w:rsidRDefault="000974AE" w:rsidP="000974AE">
      <w:pPr>
        <w:jc w:val="both"/>
        <w:rPr>
          <w:rFonts w:cstheme="minorHAnsi"/>
        </w:rPr>
      </w:pPr>
      <w:r w:rsidRPr="00DB38CE">
        <w:rPr>
          <w:rFonts w:cstheme="minorHAnsi"/>
        </w:rPr>
        <w:t>Jako vhodnější bude hodnocena nabídka toho uchazeče, jehož Σ jednotkových cen položek katalogového listu na roky 2017 - 2018 bude nižší oproti celkovým cenám kalkulačního modelu nabízeným ostatními uchazeči. Tato nabídka obdrží 100 bodů. Ostatní nabídky obdrží body dle následujícího vzorce:  </w:t>
      </w:r>
    </w:p>
    <w:p w:rsidR="000974AE" w:rsidRPr="00DB38CE" w:rsidRDefault="000974AE" w:rsidP="000974AE">
      <w:pPr>
        <w:rPr>
          <w:rFonts w:cstheme="minorHAnsi"/>
        </w:rPr>
      </w:pPr>
    </w:p>
    <w:p w:rsidR="000974AE" w:rsidRPr="00DB38CE" w:rsidRDefault="000974AE" w:rsidP="000974AE">
      <w:pPr>
        <w:rPr>
          <w:rFonts w:cstheme="minorHAnsi"/>
        </w:rPr>
      </w:pPr>
      <w:r w:rsidRPr="00DB38CE">
        <w:rPr>
          <w:rFonts w:eastAsiaTheme="minorEastAsia" w:cstheme="minorHAnsi"/>
          <w:iCs/>
          <w:sz w:val="20"/>
          <w:szCs w:val="20"/>
        </w:rPr>
        <w:t xml:space="preserve">0,6 * </w:t>
      </w:r>
      <m:oMath>
        <m:f>
          <m:fPr>
            <m:ctrlPr>
              <w:rPr>
                <w:rFonts w:ascii="Cambria Math" w:hAnsi="Cambria Math" w:cstheme="minorHAnsi"/>
                <w:i/>
                <w:iCs/>
                <w:sz w:val="20"/>
                <w:szCs w:val="20"/>
              </w:rPr>
            </m:ctrlPr>
          </m:fPr>
          <m:num>
            <m:r>
              <w:rPr>
                <w:rFonts w:ascii="Cambria Math" w:hAnsi="Cambria Math" w:cstheme="minorHAnsi"/>
                <w:sz w:val="20"/>
                <w:szCs w:val="20"/>
              </w:rPr>
              <m:t>hodnota nejvhodnější nabídky</m:t>
            </m:r>
          </m:num>
          <m:den>
            <m:r>
              <w:rPr>
                <w:rFonts w:ascii="Cambria Math" w:hAnsi="Cambria Math" w:cstheme="minorHAnsi"/>
                <w:sz w:val="20"/>
                <w:szCs w:val="20"/>
              </w:rPr>
              <m:t xml:space="preserve">hodnocená nabídková cena </m:t>
            </m:r>
          </m:den>
        </m:f>
      </m:oMath>
      <w:r w:rsidRPr="00DB38CE">
        <w:rPr>
          <w:rFonts w:cstheme="minorHAnsi"/>
          <w:sz w:val="20"/>
          <w:szCs w:val="20"/>
        </w:rPr>
        <w:t xml:space="preserve"> * 100 = počet bodů</w:t>
      </w:r>
      <w:r w:rsidRPr="00DB38CE">
        <w:rPr>
          <w:rFonts w:cstheme="minorHAnsi"/>
          <w:sz w:val="20"/>
          <w:szCs w:val="20"/>
        </w:rPr>
        <w:tab/>
      </w:r>
    </w:p>
    <w:p w:rsidR="000974AE" w:rsidRPr="00DB38CE" w:rsidRDefault="000974AE" w:rsidP="000974AE">
      <w:pPr>
        <w:rPr>
          <w:rFonts w:cstheme="minorHAnsi"/>
        </w:rPr>
      </w:pPr>
    </w:p>
    <w:p w:rsidR="000974AE" w:rsidRPr="00DB38CE" w:rsidRDefault="000974AE" w:rsidP="000974AE">
      <w:pPr>
        <w:rPr>
          <w:rFonts w:cstheme="minorHAnsi"/>
        </w:rPr>
      </w:pPr>
      <w:r w:rsidRPr="00DB38CE">
        <w:rPr>
          <w:rFonts w:cstheme="minorHAnsi"/>
        </w:rPr>
        <w:t>Výsledné číslo bude zaokrouhleno na 2 desetinná čísla. </w:t>
      </w:r>
    </w:p>
    <w:p w:rsidR="000974AE" w:rsidRPr="00DB38CE" w:rsidRDefault="000974AE" w:rsidP="000974AE">
      <w:pPr>
        <w:rPr>
          <w:rFonts w:cstheme="minorHAnsi"/>
        </w:rPr>
      </w:pPr>
    </w:p>
    <w:p w:rsidR="00EF2990" w:rsidRPr="00DB38CE" w:rsidRDefault="00EF2990" w:rsidP="000974AE">
      <w:pPr>
        <w:rPr>
          <w:rFonts w:cstheme="minorHAnsi"/>
        </w:rPr>
      </w:pPr>
    </w:p>
    <w:p w:rsidR="00EF2990" w:rsidRPr="00DB38CE" w:rsidRDefault="00EF2990" w:rsidP="000974AE">
      <w:pPr>
        <w:rPr>
          <w:rFonts w:cstheme="minorHAnsi"/>
        </w:rPr>
      </w:pPr>
    </w:p>
    <w:p w:rsidR="00EF2990" w:rsidRPr="00DB38CE" w:rsidRDefault="00EF2990" w:rsidP="000974AE">
      <w:pPr>
        <w:rPr>
          <w:rFonts w:cstheme="minorHAnsi"/>
        </w:rPr>
      </w:pPr>
    </w:p>
    <w:p w:rsidR="000974AE" w:rsidRPr="00DB38CE" w:rsidRDefault="000974AE" w:rsidP="000974AE">
      <w:pPr>
        <w:rPr>
          <w:rFonts w:cstheme="minorHAnsi"/>
        </w:rPr>
      </w:pPr>
    </w:p>
    <w:p w:rsidR="000974AE" w:rsidRPr="00DB38CE" w:rsidRDefault="000974AE" w:rsidP="000974AE">
      <w:pPr>
        <w:rPr>
          <w:rFonts w:cstheme="minorHAnsi"/>
        </w:rPr>
      </w:pPr>
    </w:p>
    <w:p w:rsidR="000974AE" w:rsidRPr="00DB38CE" w:rsidRDefault="000974AE" w:rsidP="000974AE">
      <w:pPr>
        <w:pStyle w:val="Odstavecseseznamem"/>
        <w:numPr>
          <w:ilvl w:val="1"/>
          <w:numId w:val="8"/>
        </w:numPr>
        <w:rPr>
          <w:rFonts w:cstheme="minorHAnsi"/>
          <w:b/>
        </w:rPr>
      </w:pPr>
      <w:r w:rsidRPr="00DB38CE">
        <w:rPr>
          <w:rFonts w:cstheme="minorHAnsi"/>
          <w:b/>
        </w:rPr>
        <w:lastRenderedPageBreak/>
        <w:t>Kvalita – 40 %</w:t>
      </w:r>
    </w:p>
    <w:p w:rsidR="000974AE" w:rsidRPr="00DB38CE" w:rsidRDefault="000974AE" w:rsidP="000974AE">
      <w:pPr>
        <w:pStyle w:val="Odstavecseseznamem"/>
        <w:ind w:left="360"/>
        <w:rPr>
          <w:rFonts w:cstheme="minorHAnsi"/>
          <w:b/>
        </w:rPr>
      </w:pPr>
    </w:p>
    <w:p w:rsidR="000974AE" w:rsidRPr="00DB38CE" w:rsidRDefault="000974AE" w:rsidP="000974AE">
      <w:pPr>
        <w:pStyle w:val="Odstavecseseznamem"/>
        <w:numPr>
          <w:ilvl w:val="2"/>
          <w:numId w:val="8"/>
        </w:numPr>
        <w:rPr>
          <w:rFonts w:cstheme="minorHAnsi"/>
          <w:b/>
        </w:rPr>
      </w:pPr>
      <w:r w:rsidRPr="00DB38CE">
        <w:rPr>
          <w:rFonts w:cstheme="minorHAnsi"/>
          <w:b/>
        </w:rPr>
        <w:t>Kvalita modelového scénáře prezentační akce - 10 %</w:t>
      </w:r>
    </w:p>
    <w:p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Kvalita modelového scénáře prezentační akce </w:t>
      </w:r>
      <w:r w:rsidRPr="00DB38CE">
        <w:rPr>
          <w:rFonts w:cstheme="minorHAnsi"/>
        </w:rPr>
        <w:t>bude zadavatel hodnotit:</w:t>
      </w:r>
    </w:p>
    <w:p w:rsidR="000974AE" w:rsidRPr="00DB38CE" w:rsidRDefault="000974AE" w:rsidP="000974AE">
      <w:pPr>
        <w:pStyle w:val="Odstavecseseznamem"/>
        <w:numPr>
          <w:ilvl w:val="0"/>
          <w:numId w:val="12"/>
        </w:numPr>
        <w:jc w:val="both"/>
        <w:rPr>
          <w:rFonts w:cstheme="minorHAnsi"/>
        </w:rPr>
      </w:pPr>
      <w:r w:rsidRPr="00DB38CE">
        <w:rPr>
          <w:rFonts w:cstheme="minorHAnsi"/>
        </w:rPr>
        <w:t>Vhodnost scénáře k propagaci sladkovodních ryb u cílové skupiny „široká veřejnost“</w:t>
      </w:r>
    </w:p>
    <w:p w:rsidR="000974AE" w:rsidRPr="00DB38CE" w:rsidRDefault="000974AE" w:rsidP="000974AE">
      <w:pPr>
        <w:pStyle w:val="Odstavecseseznamem"/>
        <w:numPr>
          <w:ilvl w:val="0"/>
          <w:numId w:val="12"/>
        </w:numPr>
        <w:jc w:val="both"/>
        <w:rPr>
          <w:rFonts w:cstheme="minorHAnsi"/>
        </w:rPr>
      </w:pPr>
      <w:r w:rsidRPr="00DB38CE">
        <w:rPr>
          <w:rFonts w:cstheme="minorHAnsi"/>
        </w:rPr>
        <w:t xml:space="preserve">Inovativnost, kreativitu a originalitu modelového scénáře </w:t>
      </w:r>
    </w:p>
    <w:p w:rsidR="000974AE" w:rsidRPr="00DB38CE" w:rsidRDefault="000974AE" w:rsidP="000974AE">
      <w:pPr>
        <w:pStyle w:val="Odstavecseseznamem"/>
        <w:numPr>
          <w:ilvl w:val="0"/>
          <w:numId w:val="12"/>
        </w:numPr>
        <w:jc w:val="both"/>
        <w:rPr>
          <w:rFonts w:cstheme="minorHAnsi"/>
        </w:rPr>
      </w:pPr>
      <w:r w:rsidRPr="00DB38CE">
        <w:rPr>
          <w:rFonts w:cstheme="minorHAnsi"/>
        </w:rPr>
        <w:t>Schopnost předat podstatné informace týkající se zpracování sladkovodních ryb a možných receptů</w:t>
      </w:r>
    </w:p>
    <w:p w:rsidR="000974AE" w:rsidRPr="00DB38CE" w:rsidRDefault="000974AE" w:rsidP="000974AE">
      <w:pPr>
        <w:pStyle w:val="Odstavecseseznamem"/>
        <w:numPr>
          <w:ilvl w:val="0"/>
          <w:numId w:val="12"/>
        </w:numPr>
        <w:jc w:val="both"/>
        <w:rPr>
          <w:rFonts w:cstheme="minorHAnsi"/>
        </w:rPr>
      </w:pPr>
      <w:r w:rsidRPr="00DB38CE">
        <w:rPr>
          <w:rFonts w:cstheme="minorHAnsi"/>
        </w:rPr>
        <w:t>Logickou posloupnost modelového scénáře prezentační akce, tj. časovou posloupnost zařazení jednotlivých aktivit včetně ochutnávky</w:t>
      </w:r>
    </w:p>
    <w:p w:rsidR="000974AE" w:rsidRPr="00DB38CE" w:rsidRDefault="000974AE" w:rsidP="000974AE">
      <w:pPr>
        <w:jc w:val="both"/>
        <w:rPr>
          <w:rFonts w:cstheme="minorHAnsi"/>
        </w:rPr>
      </w:pPr>
    </w:p>
    <w:p w:rsidR="000974AE" w:rsidRPr="00DB38CE" w:rsidRDefault="000974AE" w:rsidP="000974AE">
      <w:pPr>
        <w:jc w:val="both"/>
      </w:pPr>
      <w:r w:rsidRPr="00DB38CE">
        <w:t xml:space="preserve">Hodnotící komise bude v rámci tohoto </w:t>
      </w:r>
      <w:proofErr w:type="spellStart"/>
      <w:r w:rsidRPr="00DB38CE">
        <w:t>subkritéria</w:t>
      </w:r>
      <w:proofErr w:type="spellEnd"/>
      <w:r w:rsidRPr="00DB38CE">
        <w:t xml:space="preserve"> hodnotit každé doporučení jak jednotlivě, tak i ve vzájemných souvislostech. Jako nejvhodnější nabídka bude vyhodnocen takový návrh, který bude nejlépe odpovídat vymezeným komunikačním cílům a cílovým skupinám uvedeným v Komunikační strategii OP Rybářství 2014 – 2020 (viz </w:t>
      </w:r>
      <w:r w:rsidR="00A819AB" w:rsidRPr="00DB38CE">
        <w:t>p</w:t>
      </w:r>
      <w:r w:rsidRPr="00DB38CE">
        <w:t xml:space="preserve">říloha výzvy č. </w:t>
      </w:r>
      <w:r w:rsidR="00A819AB" w:rsidRPr="00DB38CE">
        <w:t>5</w:t>
      </w:r>
      <w:r w:rsidRPr="00DB38CE">
        <w:t>)</w:t>
      </w:r>
      <w:r w:rsidR="00A819AB" w:rsidRPr="00DB38CE">
        <w:t>.</w:t>
      </w:r>
    </w:p>
    <w:p w:rsidR="000974AE" w:rsidRPr="00DB38CE" w:rsidRDefault="000974AE" w:rsidP="000974AE">
      <w:pPr>
        <w:rPr>
          <w:rFonts w:cstheme="minorHAnsi"/>
        </w:rPr>
      </w:pPr>
    </w:p>
    <w:p w:rsidR="000974AE" w:rsidRPr="00DB38CE" w:rsidRDefault="000974AE" w:rsidP="000974AE">
      <w:pPr>
        <w:jc w:val="both"/>
        <w:rPr>
          <w:rFonts w:cstheme="minorHAnsi"/>
        </w:rPr>
      </w:pPr>
      <w:r w:rsidRPr="00DB38CE">
        <w:rPr>
          <w:rFonts w:cstheme="minorHAnsi"/>
        </w:rPr>
        <w:t>Jednotlivé návrhy budou hodnoceny podle následujícího klíče:</w:t>
      </w:r>
    </w:p>
    <w:tbl>
      <w:tblPr>
        <w:tblStyle w:val="Mkatabulky"/>
        <w:tblW w:w="9067" w:type="dxa"/>
        <w:tblLook w:val="04A0" w:firstRow="1" w:lastRow="0" w:firstColumn="1" w:lastColumn="0" w:noHBand="0" w:noVBand="1"/>
      </w:tblPr>
      <w:tblGrid>
        <w:gridCol w:w="2405"/>
        <w:gridCol w:w="1701"/>
        <w:gridCol w:w="4961"/>
      </w:tblGrid>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w:t>
            </w:r>
            <w:r w:rsidRPr="00DB38CE">
              <w:rPr>
                <w:rFonts w:cstheme="minorHAnsi"/>
              </w:rPr>
              <w:lastRenderedPageBreak/>
              <w:t>z hlediska naplnění preferencí zadavatele a nabídka jde proti sledovaným cílům.</w:t>
            </w:r>
          </w:p>
        </w:tc>
      </w:tr>
    </w:tbl>
    <w:p w:rsidR="000974AE" w:rsidRPr="00DB38CE" w:rsidRDefault="000974AE" w:rsidP="000974AE">
      <w:pPr>
        <w:tabs>
          <w:tab w:val="left" w:pos="2552"/>
          <w:tab w:val="left" w:pos="3969"/>
        </w:tabs>
        <w:jc w:val="both"/>
        <w:rPr>
          <w:rFonts w:cstheme="minorHAnsi"/>
        </w:rPr>
      </w:pPr>
    </w:p>
    <w:p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rsidR="000974AE" w:rsidRPr="00DB38CE" w:rsidRDefault="000974AE" w:rsidP="000974AE">
      <w:pPr>
        <w:jc w:val="both"/>
        <w:rPr>
          <w:rFonts w:cstheme="minorHAnsi"/>
        </w:rPr>
      </w:pPr>
    </w:p>
    <w:p w:rsidR="000974AE" w:rsidRPr="00DB38CE" w:rsidRDefault="000974AE" w:rsidP="000974AE">
      <w:pPr>
        <w:rPr>
          <w:rFonts w:cstheme="minorHAnsi"/>
          <w:sz w:val="20"/>
          <w:szCs w:val="20"/>
        </w:rPr>
      </w:pPr>
      <w:r w:rsidRPr="00DB38CE">
        <w:rPr>
          <w:rFonts w:eastAsiaTheme="minorEastAsia" w:cstheme="minorHAnsi"/>
          <w:iCs/>
          <w:sz w:val="20"/>
          <w:szCs w:val="20"/>
        </w:rPr>
        <w:t xml:space="preserve">0,1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rsidR="000974AE" w:rsidRPr="00DB38CE" w:rsidRDefault="000974AE" w:rsidP="000974AE">
      <w:pPr>
        <w:rPr>
          <w:rFonts w:cstheme="minorHAnsi"/>
          <w:sz w:val="20"/>
          <w:szCs w:val="20"/>
        </w:rPr>
      </w:pPr>
    </w:p>
    <w:p w:rsidR="000974AE" w:rsidRPr="00DB38CE" w:rsidRDefault="000974AE" w:rsidP="000974AE">
      <w:pPr>
        <w:rPr>
          <w:rFonts w:cstheme="minorHAnsi"/>
        </w:rPr>
      </w:pPr>
      <w:r w:rsidRPr="00DB38CE">
        <w:rPr>
          <w:rFonts w:cstheme="minorHAnsi"/>
        </w:rPr>
        <w:t>Výsledné číslo bude zaokrouhleno na 2 desetinná čísla. </w:t>
      </w:r>
    </w:p>
    <w:p w:rsidR="000974AE" w:rsidRPr="00DB38CE" w:rsidRDefault="000974AE" w:rsidP="000974AE">
      <w:pPr>
        <w:rPr>
          <w:rFonts w:cstheme="minorHAnsi"/>
        </w:rPr>
      </w:pPr>
    </w:p>
    <w:p w:rsidR="000974AE" w:rsidRPr="00DB38CE" w:rsidRDefault="000974AE" w:rsidP="000974AE">
      <w:pPr>
        <w:rPr>
          <w:rFonts w:cstheme="minorHAnsi"/>
          <w:b/>
        </w:rPr>
      </w:pPr>
    </w:p>
    <w:p w:rsidR="000974AE" w:rsidRPr="00DB38CE" w:rsidRDefault="000974AE" w:rsidP="000974AE">
      <w:pPr>
        <w:rPr>
          <w:rFonts w:cstheme="minorHAnsi"/>
          <w:b/>
        </w:rPr>
      </w:pPr>
    </w:p>
    <w:p w:rsidR="000974AE" w:rsidRPr="00DB38CE" w:rsidRDefault="000974AE" w:rsidP="000974AE">
      <w:pPr>
        <w:pStyle w:val="Odstavecseseznamem"/>
        <w:numPr>
          <w:ilvl w:val="2"/>
          <w:numId w:val="8"/>
        </w:numPr>
        <w:ind w:left="709" w:hanging="709"/>
        <w:rPr>
          <w:rFonts w:cstheme="minorHAnsi"/>
          <w:b/>
        </w:rPr>
      </w:pPr>
      <w:r w:rsidRPr="00DB38CE">
        <w:rPr>
          <w:rFonts w:cstheme="minorHAnsi"/>
          <w:b/>
        </w:rPr>
        <w:t>Návrh akce na míru v obchodních sítích Globus/Ahold/Tesco - 10 %</w:t>
      </w:r>
    </w:p>
    <w:p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Návrh akce na míru v obchodních sítích Globus/Ahold/Tesco </w:t>
      </w:r>
      <w:r w:rsidRPr="00DB38CE">
        <w:rPr>
          <w:rFonts w:cstheme="minorHAnsi"/>
        </w:rPr>
        <w:t>bude zadavatel hodnotit:</w:t>
      </w:r>
    </w:p>
    <w:p w:rsidR="000974AE" w:rsidRPr="00DB38CE" w:rsidRDefault="000974AE" w:rsidP="000974AE">
      <w:pPr>
        <w:pStyle w:val="Odstavecseseznamem"/>
        <w:numPr>
          <w:ilvl w:val="0"/>
          <w:numId w:val="11"/>
        </w:numPr>
        <w:jc w:val="both"/>
        <w:rPr>
          <w:rFonts w:cstheme="minorHAnsi"/>
        </w:rPr>
      </w:pPr>
      <w:r w:rsidRPr="00DB38CE">
        <w:rPr>
          <w:rFonts w:cstheme="minorHAnsi"/>
        </w:rPr>
        <w:t>Vhodnost plánované akce k propagaci sladkovodních ryb u cílové skupiny „široká veřejnost“</w:t>
      </w:r>
    </w:p>
    <w:p w:rsidR="000974AE" w:rsidRPr="00DB38CE" w:rsidRDefault="000974AE" w:rsidP="000974AE">
      <w:pPr>
        <w:pStyle w:val="Odstavecseseznamem"/>
        <w:numPr>
          <w:ilvl w:val="0"/>
          <w:numId w:val="11"/>
        </w:numPr>
        <w:jc w:val="both"/>
        <w:rPr>
          <w:rFonts w:cstheme="minorHAnsi"/>
        </w:rPr>
      </w:pPr>
      <w:r w:rsidRPr="00DB38CE">
        <w:rPr>
          <w:rFonts w:cstheme="minorHAnsi"/>
        </w:rPr>
        <w:t>Inovativnost, kreativitu a originalitu navrhované akce</w:t>
      </w:r>
    </w:p>
    <w:p w:rsidR="000974AE" w:rsidRPr="00DB38CE" w:rsidRDefault="000974AE" w:rsidP="000974AE">
      <w:pPr>
        <w:pStyle w:val="Odstavecseseznamem"/>
        <w:numPr>
          <w:ilvl w:val="0"/>
          <w:numId w:val="11"/>
        </w:numPr>
        <w:jc w:val="both"/>
        <w:rPr>
          <w:rFonts w:cstheme="minorHAnsi"/>
        </w:rPr>
      </w:pPr>
      <w:r w:rsidRPr="00DB38CE">
        <w:rPr>
          <w:rFonts w:cstheme="minorHAnsi"/>
        </w:rPr>
        <w:t>Logickou posloupnost akce na míru, tj. časovou posloupnost zařazení jednotlivých aktivit včetně ochutnávky a její přípravy</w:t>
      </w:r>
    </w:p>
    <w:p w:rsidR="000974AE" w:rsidRPr="00DB38CE" w:rsidRDefault="000974AE" w:rsidP="000974AE">
      <w:pPr>
        <w:jc w:val="both"/>
        <w:rPr>
          <w:rFonts w:cstheme="minorHAnsi"/>
        </w:rPr>
      </w:pPr>
    </w:p>
    <w:p w:rsidR="000974AE" w:rsidRPr="00DB38CE" w:rsidRDefault="000974AE" w:rsidP="000974AE">
      <w:pPr>
        <w:jc w:val="both"/>
      </w:pPr>
      <w:r w:rsidRPr="00DB38CE">
        <w:t xml:space="preserve">Hodnotící komise bude v rámci tohoto </w:t>
      </w:r>
      <w:proofErr w:type="spellStart"/>
      <w:r w:rsidRPr="00DB38CE">
        <w:t>subkritéria</w:t>
      </w:r>
      <w:proofErr w:type="spellEnd"/>
      <w:r w:rsidRPr="00DB38CE">
        <w:t xml:space="preserve"> hodnotit každé doporučení jak jednotlivě, tak i ve vzájemných souvislostech. Jako nejvhodnější nabídka bude vyhodnocen takový návrh, který bude nejlépe odpovídat vymezeným komunikačním cílům a cílovým skupinám uvedeným v Komunikační strategii </w:t>
      </w:r>
      <w:r w:rsidR="004E336A" w:rsidRPr="00DB38CE">
        <w:t>2016</w:t>
      </w:r>
      <w:r w:rsidRPr="00DB38CE">
        <w:t xml:space="preserve">. (viz </w:t>
      </w:r>
      <w:r w:rsidR="004E336A" w:rsidRPr="00DB38CE">
        <w:t>p</w:t>
      </w:r>
      <w:r w:rsidRPr="00DB38CE">
        <w:t xml:space="preserve">říloha </w:t>
      </w:r>
      <w:r w:rsidR="004E336A" w:rsidRPr="00DB38CE">
        <w:t xml:space="preserve">č. 5 </w:t>
      </w:r>
      <w:r w:rsidRPr="00DB38CE">
        <w:t>výzvy)</w:t>
      </w:r>
    </w:p>
    <w:p w:rsidR="000974AE" w:rsidRPr="00DB38CE" w:rsidRDefault="000974AE" w:rsidP="000974AE">
      <w:pPr>
        <w:jc w:val="both"/>
        <w:rPr>
          <w:rFonts w:cstheme="minorHAnsi"/>
        </w:rPr>
      </w:pPr>
      <w:r w:rsidRPr="00DB38CE">
        <w:rPr>
          <w:rFonts w:cstheme="minorHAnsi"/>
        </w:rPr>
        <w:t>Jednotlivé návrhy budou hodnoceny podle následujícího klíče:</w:t>
      </w:r>
    </w:p>
    <w:tbl>
      <w:tblPr>
        <w:tblStyle w:val="Mkatabulky"/>
        <w:tblW w:w="9067" w:type="dxa"/>
        <w:tblLook w:val="04A0" w:firstRow="1" w:lastRow="0" w:firstColumn="1" w:lastColumn="0" w:noHBand="0" w:noVBand="1"/>
      </w:tblPr>
      <w:tblGrid>
        <w:gridCol w:w="2405"/>
        <w:gridCol w:w="1701"/>
        <w:gridCol w:w="4961"/>
      </w:tblGrid>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lastRenderedPageBreak/>
              <w:t>„průměrná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není kvalitativně srovnatelné s nejvhodnější nabídkou, zadavatel má k nabízenému plnění velké množství zásadních připomínek z hlediska naplnění preferencí zadavatele a nabídka jde proti sledovaným cílům.</w:t>
            </w:r>
          </w:p>
        </w:tc>
      </w:tr>
    </w:tbl>
    <w:p w:rsidR="000974AE" w:rsidRPr="00DB38CE" w:rsidRDefault="000974AE" w:rsidP="000974AE">
      <w:pPr>
        <w:tabs>
          <w:tab w:val="left" w:pos="2552"/>
          <w:tab w:val="left" w:pos="3969"/>
        </w:tabs>
        <w:jc w:val="both"/>
        <w:rPr>
          <w:rFonts w:cstheme="minorHAnsi"/>
        </w:rPr>
      </w:pPr>
    </w:p>
    <w:p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rsidR="000974AE" w:rsidRPr="00DB38CE" w:rsidRDefault="000974AE" w:rsidP="000974AE">
      <w:pPr>
        <w:jc w:val="both"/>
        <w:rPr>
          <w:rFonts w:cstheme="minorHAnsi"/>
        </w:rPr>
      </w:pPr>
    </w:p>
    <w:p w:rsidR="000974AE" w:rsidRPr="00DB38CE" w:rsidRDefault="000974AE" w:rsidP="000974AE">
      <w:pPr>
        <w:rPr>
          <w:rFonts w:cstheme="minorHAnsi"/>
          <w:sz w:val="20"/>
          <w:szCs w:val="20"/>
        </w:rPr>
      </w:pPr>
      <w:r w:rsidRPr="00DB38CE">
        <w:rPr>
          <w:rFonts w:eastAsiaTheme="minorEastAsia" w:cstheme="minorHAnsi"/>
          <w:iCs/>
          <w:sz w:val="20"/>
          <w:szCs w:val="20"/>
        </w:rPr>
        <w:t xml:space="preserve">0,2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rsidR="000974AE" w:rsidRPr="00DB38CE" w:rsidRDefault="000974AE" w:rsidP="000974AE">
      <w:pPr>
        <w:rPr>
          <w:rFonts w:cstheme="minorHAnsi"/>
          <w:b/>
        </w:rPr>
      </w:pPr>
      <w:r w:rsidRPr="00DB38CE">
        <w:rPr>
          <w:rFonts w:cstheme="minorHAnsi"/>
        </w:rPr>
        <w:t>Výsledné číslo bude zaokrouhleno na 2 desetinná čísla.</w:t>
      </w:r>
    </w:p>
    <w:p w:rsidR="000974AE" w:rsidRPr="00DB38CE" w:rsidRDefault="000974AE" w:rsidP="000974AE">
      <w:pPr>
        <w:rPr>
          <w:rFonts w:cstheme="minorHAnsi"/>
        </w:rPr>
      </w:pPr>
    </w:p>
    <w:p w:rsidR="000974AE" w:rsidRPr="00DB38CE" w:rsidRDefault="000974AE" w:rsidP="000974AE">
      <w:pPr>
        <w:pStyle w:val="Odstavecseseznamem"/>
        <w:numPr>
          <w:ilvl w:val="2"/>
          <w:numId w:val="8"/>
        </w:numPr>
        <w:rPr>
          <w:rFonts w:cstheme="minorHAnsi"/>
          <w:b/>
          <w:bCs/>
        </w:rPr>
      </w:pPr>
      <w:r w:rsidRPr="00DB38CE">
        <w:rPr>
          <w:rFonts w:cstheme="minorHAnsi"/>
          <w:b/>
          <w:bCs/>
        </w:rPr>
        <w:t>Návrh akce pro školy – 10 %</w:t>
      </w:r>
    </w:p>
    <w:p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Návrh akce pro školy</w:t>
      </w:r>
      <w:r w:rsidRPr="00DB38CE">
        <w:rPr>
          <w:rFonts w:cstheme="minorHAnsi"/>
        </w:rPr>
        <w:t xml:space="preserve"> bude zadavatel hodnotit:</w:t>
      </w:r>
    </w:p>
    <w:p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Vzorovou vyučovací hodinu pro základní školy na téma prospěšnosti konzumace ryb.</w:t>
      </w:r>
    </w:p>
    <w:p w:rsidR="000974AE" w:rsidRPr="00DB38CE" w:rsidRDefault="000974AE" w:rsidP="000974AE">
      <w:pPr>
        <w:numPr>
          <w:ilvl w:val="0"/>
          <w:numId w:val="7"/>
        </w:numPr>
        <w:tabs>
          <w:tab w:val="left" w:pos="360"/>
        </w:tabs>
        <w:spacing w:after="0" w:line="240" w:lineRule="auto"/>
        <w:jc w:val="both"/>
        <w:rPr>
          <w:rFonts w:ascii="Arial" w:hAnsi="Arial" w:cs="Arial"/>
          <w:sz w:val="20"/>
          <w:szCs w:val="20"/>
        </w:rPr>
      </w:pPr>
      <w:r w:rsidRPr="00DB38CE">
        <w:t>Podklady pro výuku.</w:t>
      </w:r>
    </w:p>
    <w:p w:rsidR="000974AE" w:rsidRPr="00DB38CE" w:rsidRDefault="000974AE" w:rsidP="000974AE">
      <w:pPr>
        <w:numPr>
          <w:ilvl w:val="0"/>
          <w:numId w:val="7"/>
        </w:numPr>
        <w:tabs>
          <w:tab w:val="left" w:pos="360"/>
        </w:tabs>
        <w:spacing w:after="0" w:line="240" w:lineRule="auto"/>
        <w:jc w:val="both"/>
        <w:rPr>
          <w:rFonts w:ascii="Arial" w:hAnsi="Arial" w:cs="Arial"/>
          <w:sz w:val="20"/>
          <w:szCs w:val="20"/>
        </w:rPr>
      </w:pPr>
      <w:r w:rsidRPr="00DB38CE">
        <w:t xml:space="preserve">Domácí úkol a zapojení rodičů. </w:t>
      </w:r>
    </w:p>
    <w:p w:rsidR="000974AE" w:rsidRPr="00DB38CE" w:rsidRDefault="000974AE" w:rsidP="000974AE">
      <w:pPr>
        <w:numPr>
          <w:ilvl w:val="0"/>
          <w:numId w:val="7"/>
        </w:numPr>
        <w:tabs>
          <w:tab w:val="left" w:pos="360"/>
        </w:tabs>
        <w:spacing w:after="0" w:line="240" w:lineRule="auto"/>
        <w:jc w:val="both"/>
        <w:rPr>
          <w:rFonts w:ascii="Arial" w:hAnsi="Arial" w:cs="Arial"/>
          <w:sz w:val="20"/>
          <w:szCs w:val="20"/>
        </w:rPr>
      </w:pPr>
      <w:r w:rsidRPr="00DB38CE">
        <w:t>Elektronický kvíz a jeho vyhodnocení.</w:t>
      </w:r>
    </w:p>
    <w:p w:rsidR="000974AE" w:rsidRPr="00DB38CE" w:rsidRDefault="000974AE" w:rsidP="000974AE">
      <w:pPr>
        <w:tabs>
          <w:tab w:val="left" w:pos="360"/>
        </w:tabs>
        <w:spacing w:before="120" w:after="120" w:line="276" w:lineRule="auto"/>
        <w:jc w:val="both"/>
        <w:rPr>
          <w:rFonts w:ascii="Arial" w:hAnsi="Arial" w:cs="Arial"/>
          <w:sz w:val="20"/>
          <w:szCs w:val="20"/>
        </w:rPr>
      </w:pPr>
      <w:r w:rsidRPr="00DB38CE">
        <w:t xml:space="preserve">Hodnotící komise bude v rámci tohoto </w:t>
      </w:r>
      <w:proofErr w:type="spellStart"/>
      <w:r w:rsidRPr="00DB38CE">
        <w:t>subkritéria</w:t>
      </w:r>
      <w:proofErr w:type="spellEnd"/>
      <w:r w:rsidRPr="00DB38CE">
        <w:t xml:space="preserve"> hodnotit každé doporučení jak jednotlivě, tak i ve vzájemných souvislostech. Jako nejvhodnější nabídka bude vyhodnocen takový návrh, který bude vykazovat nejvyšší míru kreativity, originality, nápaditosti a bude nejlépe odpovídat vymezené cílové skupině (Žáci základní školy) a komunikačním cílům uvedeným v </w:t>
      </w:r>
      <w:r w:rsidR="004E336A" w:rsidRPr="00DB38CE">
        <w:t>Komunikační strategii 2016. (viz příloha č. 5 výzvy)</w:t>
      </w:r>
    </w:p>
    <w:p w:rsidR="000974AE" w:rsidRPr="00DB38CE" w:rsidRDefault="000974AE" w:rsidP="000974AE">
      <w:pPr>
        <w:jc w:val="both"/>
        <w:rPr>
          <w:rFonts w:cstheme="minorHAnsi"/>
        </w:rPr>
      </w:pPr>
      <w:r w:rsidRPr="00DB38CE">
        <w:rPr>
          <w:rFonts w:cstheme="minorHAnsi"/>
        </w:rPr>
        <w:t>Jednotlivé návrhy budou hodnoceny podle následujícího klíče:</w:t>
      </w:r>
    </w:p>
    <w:tbl>
      <w:tblPr>
        <w:tblStyle w:val="Mkatabulky"/>
        <w:tblW w:w="9067" w:type="dxa"/>
        <w:tblLook w:val="04A0" w:firstRow="1" w:lastRow="0" w:firstColumn="1" w:lastColumn="0" w:noHBand="0" w:noVBand="1"/>
      </w:tblPr>
      <w:tblGrid>
        <w:gridCol w:w="2405"/>
        <w:gridCol w:w="1701"/>
        <w:gridCol w:w="4961"/>
      </w:tblGrid>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je kvalitativně srovnatelné s nejvhodnější nabídkou a zadavatel nemá k nabízenému plnění připomínky z hlediska naplnění </w:t>
            </w:r>
            <w:r w:rsidRPr="00DB38CE">
              <w:rPr>
                <w:rFonts w:cstheme="minorHAnsi"/>
              </w:rPr>
              <w:lastRenderedPageBreak/>
              <w:t>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lastRenderedPageBreak/>
              <w:t>„nadprůměrná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není kvalitativně srovnatelné s nejvhodnější nabídkou, zadavatel má k nabízenému plnění velké množství zásadních připomínek z hlediska naplnění preferencí zadavatele a nabídka jde proti sledovaným cílům.</w:t>
            </w:r>
          </w:p>
        </w:tc>
      </w:tr>
    </w:tbl>
    <w:p w:rsidR="000974AE" w:rsidRPr="00DB38CE" w:rsidRDefault="000974AE" w:rsidP="000974AE">
      <w:pPr>
        <w:tabs>
          <w:tab w:val="left" w:pos="2552"/>
          <w:tab w:val="left" w:pos="3969"/>
        </w:tabs>
        <w:jc w:val="both"/>
        <w:rPr>
          <w:rFonts w:cstheme="minorHAnsi"/>
        </w:rPr>
      </w:pPr>
    </w:p>
    <w:p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rsidR="000974AE" w:rsidRPr="00DB38CE" w:rsidRDefault="000974AE" w:rsidP="000974AE">
      <w:pPr>
        <w:jc w:val="both"/>
        <w:rPr>
          <w:rFonts w:cstheme="minorHAnsi"/>
        </w:rPr>
      </w:pPr>
    </w:p>
    <w:p w:rsidR="000974AE" w:rsidRPr="00DB38CE" w:rsidRDefault="000974AE" w:rsidP="000974AE">
      <w:pPr>
        <w:rPr>
          <w:rFonts w:cstheme="minorHAnsi"/>
          <w:sz w:val="20"/>
          <w:szCs w:val="20"/>
        </w:rPr>
      </w:pPr>
      <w:r w:rsidRPr="00DB38CE">
        <w:rPr>
          <w:rFonts w:eastAsiaTheme="minorEastAsia" w:cstheme="minorHAnsi"/>
          <w:iCs/>
          <w:sz w:val="20"/>
          <w:szCs w:val="20"/>
        </w:rPr>
        <w:t xml:space="preserve">0,1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rsidR="000974AE" w:rsidRPr="00DB38CE" w:rsidRDefault="000974AE" w:rsidP="000974AE">
      <w:pPr>
        <w:rPr>
          <w:rFonts w:cstheme="minorHAnsi"/>
          <w:sz w:val="20"/>
          <w:szCs w:val="20"/>
        </w:rPr>
      </w:pPr>
    </w:p>
    <w:p w:rsidR="000974AE" w:rsidRPr="00DB38CE" w:rsidRDefault="000974AE" w:rsidP="000974AE">
      <w:pPr>
        <w:rPr>
          <w:rFonts w:cstheme="minorHAnsi"/>
        </w:rPr>
      </w:pPr>
      <w:r w:rsidRPr="00DB38CE">
        <w:rPr>
          <w:rFonts w:cstheme="minorHAnsi"/>
        </w:rPr>
        <w:t>Výsledné číslo bude zaokrouhleno na 2 desetinná čísla. </w:t>
      </w:r>
    </w:p>
    <w:p w:rsidR="000974AE" w:rsidRPr="00DB38CE" w:rsidRDefault="000974AE" w:rsidP="000974AE">
      <w:pPr>
        <w:rPr>
          <w:rFonts w:cstheme="minorHAnsi"/>
        </w:rPr>
      </w:pPr>
    </w:p>
    <w:p w:rsidR="000974AE" w:rsidRPr="00DB38CE" w:rsidRDefault="000974AE" w:rsidP="000974AE">
      <w:pPr>
        <w:rPr>
          <w:rFonts w:cstheme="minorHAnsi"/>
        </w:rPr>
      </w:pPr>
    </w:p>
    <w:p w:rsidR="000974AE" w:rsidRPr="00DB38CE" w:rsidRDefault="000974AE" w:rsidP="000974AE">
      <w:pPr>
        <w:rPr>
          <w:rFonts w:cstheme="minorHAnsi"/>
        </w:rPr>
      </w:pPr>
    </w:p>
    <w:p w:rsidR="000974AE" w:rsidRPr="00DB38CE" w:rsidRDefault="000974AE" w:rsidP="000974AE">
      <w:pPr>
        <w:pStyle w:val="Odstavecseseznamem"/>
        <w:numPr>
          <w:ilvl w:val="2"/>
          <w:numId w:val="8"/>
        </w:numPr>
        <w:rPr>
          <w:rFonts w:cstheme="minorHAnsi"/>
          <w:b/>
          <w:bCs/>
        </w:rPr>
      </w:pPr>
      <w:r w:rsidRPr="00DB38CE">
        <w:rPr>
          <w:rFonts w:cstheme="minorHAnsi"/>
          <w:b/>
        </w:rPr>
        <w:t>Návrh školy vaření pro profesionální kuchaře – 10 %</w:t>
      </w:r>
    </w:p>
    <w:p w:rsidR="000974AE" w:rsidRPr="00DB38CE" w:rsidRDefault="000974AE" w:rsidP="000974AE">
      <w:pPr>
        <w:jc w:val="both"/>
        <w:rPr>
          <w:rFonts w:cstheme="minorHAnsi"/>
        </w:rPr>
      </w:pPr>
      <w:r w:rsidRPr="00DB38CE">
        <w:rPr>
          <w:rFonts w:cstheme="minorHAnsi"/>
        </w:rPr>
        <w:t>V rámci hodnotícího kritéria</w:t>
      </w:r>
      <w:r w:rsidRPr="00DB38CE">
        <w:rPr>
          <w:rFonts w:cstheme="minorHAnsi"/>
          <w:b/>
        </w:rPr>
        <w:t xml:space="preserve"> Návrh školy vaření pro profesionální kuchaře </w:t>
      </w:r>
      <w:r w:rsidRPr="00DB38CE">
        <w:rPr>
          <w:rFonts w:cstheme="minorHAnsi"/>
        </w:rPr>
        <w:t>bude zadavatel hodnotit:</w:t>
      </w:r>
    </w:p>
    <w:p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Vhodnost zvoleného kuchařského kurzu vzhledem k tematickému zaměření na zpracování sladkovodních ryb</w:t>
      </w:r>
    </w:p>
    <w:p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t>Adekvátně zvolená úroveň náročnosti pro profesionální kuchaře, kteří však zároveň mají potenciál a zájem se v oblasti zpracování sladkovodních ryb dále rozvíjet</w:t>
      </w:r>
    </w:p>
    <w:p w:rsidR="000974AE" w:rsidRPr="00DB38CE" w:rsidRDefault="000974AE" w:rsidP="000974AE">
      <w:pPr>
        <w:numPr>
          <w:ilvl w:val="0"/>
          <w:numId w:val="7"/>
        </w:numPr>
        <w:tabs>
          <w:tab w:val="left" w:pos="360"/>
        </w:tabs>
        <w:spacing w:before="120" w:after="0" w:line="240" w:lineRule="auto"/>
        <w:jc w:val="both"/>
        <w:rPr>
          <w:rFonts w:ascii="Arial" w:hAnsi="Arial" w:cs="Arial"/>
          <w:sz w:val="20"/>
          <w:szCs w:val="20"/>
        </w:rPr>
      </w:pPr>
      <w:r w:rsidRPr="00DB38CE">
        <w:lastRenderedPageBreak/>
        <w:t xml:space="preserve">Úroveň zkušeností školícího kuchaře, která bude posouzena na základě předloženého strukturovaného životopisu. </w:t>
      </w:r>
    </w:p>
    <w:p w:rsidR="000974AE" w:rsidRPr="00DB38CE" w:rsidRDefault="000974AE" w:rsidP="000974AE">
      <w:pPr>
        <w:rPr>
          <w:rFonts w:cstheme="minorHAnsi"/>
          <w:b/>
          <w:bCs/>
        </w:rPr>
      </w:pPr>
    </w:p>
    <w:p w:rsidR="000974AE" w:rsidRPr="00DB38CE" w:rsidRDefault="000974AE" w:rsidP="000974AE">
      <w:pPr>
        <w:jc w:val="both"/>
      </w:pPr>
      <w:r w:rsidRPr="00DB38CE">
        <w:t xml:space="preserve">Hodnotící komise bude v rámci tohoto </w:t>
      </w:r>
      <w:proofErr w:type="spellStart"/>
      <w:r w:rsidRPr="00DB38CE">
        <w:t>subkritéria</w:t>
      </w:r>
      <w:proofErr w:type="spellEnd"/>
      <w:r w:rsidRPr="00DB38CE">
        <w:t xml:space="preserve"> hodnotit každé doporučení jak jednotlivě, tak i ve vzájemných souvislostech. Jako nejvhodnější nabídka bude vyhodnocen takový návrh, který bude nejlépe odpovídat vymezeným komunikačním cílům a cílovým skupinám uvedeným v </w:t>
      </w:r>
      <w:r w:rsidR="004E336A" w:rsidRPr="00DB38CE">
        <w:t>Komunikační strategii 2016. (viz příloha č. 5 výzvy)</w:t>
      </w:r>
    </w:p>
    <w:p w:rsidR="000974AE" w:rsidRPr="00DB38CE" w:rsidRDefault="000974AE" w:rsidP="000974AE">
      <w:pPr>
        <w:rPr>
          <w:rFonts w:cstheme="minorHAnsi"/>
          <w:b/>
          <w:bCs/>
        </w:rPr>
      </w:pPr>
    </w:p>
    <w:tbl>
      <w:tblPr>
        <w:tblStyle w:val="Mkatabulky"/>
        <w:tblW w:w="9067" w:type="dxa"/>
        <w:tblLook w:val="04A0" w:firstRow="1" w:lastRow="0" w:firstColumn="1" w:lastColumn="0" w:noHBand="0" w:noVBand="1"/>
      </w:tblPr>
      <w:tblGrid>
        <w:gridCol w:w="2405"/>
        <w:gridCol w:w="1701"/>
        <w:gridCol w:w="4961"/>
      </w:tblGrid>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b/>
              </w:rPr>
              <w:t>Kvalita:</w:t>
            </w:r>
          </w:p>
        </w:tc>
        <w:tc>
          <w:tcPr>
            <w:tcW w:w="1701" w:type="dxa"/>
          </w:tcPr>
          <w:p w:rsidR="000974AE" w:rsidRPr="00DB38CE" w:rsidRDefault="000974AE" w:rsidP="00872471">
            <w:pPr>
              <w:tabs>
                <w:tab w:val="left" w:pos="2552"/>
                <w:tab w:val="left" w:pos="3969"/>
              </w:tabs>
              <w:rPr>
                <w:rFonts w:cstheme="minorHAnsi"/>
              </w:rPr>
            </w:pPr>
            <w:r w:rsidRPr="00DB38CE">
              <w:rPr>
                <w:rFonts w:cstheme="minorHAnsi"/>
                <w:b/>
              </w:rPr>
              <w:t>Počet bodů dílčího kritéria:</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b/>
              </w:rPr>
              <w:t>Odůvodnění:</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100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Nejvhodnější nabídka</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„vysoká“</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80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a zadavatel nemá k nabízenému plnění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„nadprůměrná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60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drobné připomínky z hlediska naplnění preferencí zadavatele, nabídka naplňuje sledované cíle částečně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40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je kvalitativně srovnatelné s nejvhodnější nabídkou pouze částečně, zadavatel má k nabízenému plnění podstatné připomínky z hlediska naplnění preferencí zadavatele, nabídka naplňuje sledované cíle pouze omezeně v porovnání s nejvhodnější nabídkou.</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„podprůměrná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20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 xml:space="preserve">Nabízené plnění není kvalitativně srovnatelné s nejvhodnější nabídkou, zadavatel má k nabízenému plnění velké množství zásadních připomínek z hlediska naplnění preferencí zadavatele a nabídka nevyhovuje sledovaným cílům v porovnání s nejvhodnější nabídkou. </w:t>
            </w:r>
          </w:p>
        </w:tc>
      </w:tr>
      <w:tr w:rsidR="000974AE" w:rsidRPr="00DB38CE" w:rsidTr="00872471">
        <w:tc>
          <w:tcPr>
            <w:tcW w:w="2405" w:type="dxa"/>
          </w:tcPr>
          <w:p w:rsidR="000974AE" w:rsidRPr="00DB38CE" w:rsidRDefault="000974AE" w:rsidP="00872471">
            <w:pPr>
              <w:tabs>
                <w:tab w:val="left" w:pos="2552"/>
                <w:tab w:val="left" w:pos="3969"/>
              </w:tabs>
              <w:jc w:val="both"/>
              <w:rPr>
                <w:rFonts w:cstheme="minorHAnsi"/>
              </w:rPr>
            </w:pPr>
            <w:r w:rsidRPr="00DB38CE">
              <w:rPr>
                <w:rFonts w:cstheme="minorHAnsi"/>
              </w:rPr>
              <w:t>„nepřípustná nabídka“</w:t>
            </w:r>
          </w:p>
        </w:tc>
        <w:tc>
          <w:tcPr>
            <w:tcW w:w="1701" w:type="dxa"/>
          </w:tcPr>
          <w:p w:rsidR="000974AE" w:rsidRPr="00DB38CE" w:rsidRDefault="000974AE" w:rsidP="00872471">
            <w:pPr>
              <w:tabs>
                <w:tab w:val="left" w:pos="2552"/>
                <w:tab w:val="left" w:pos="3969"/>
              </w:tabs>
              <w:jc w:val="both"/>
              <w:rPr>
                <w:rFonts w:cstheme="minorHAnsi"/>
              </w:rPr>
            </w:pPr>
            <w:r w:rsidRPr="00DB38CE">
              <w:rPr>
                <w:rFonts w:cstheme="minorHAnsi"/>
              </w:rPr>
              <w:t>0 bodů</w:t>
            </w:r>
          </w:p>
        </w:tc>
        <w:tc>
          <w:tcPr>
            <w:tcW w:w="4961" w:type="dxa"/>
          </w:tcPr>
          <w:p w:rsidR="000974AE" w:rsidRPr="00DB38CE" w:rsidRDefault="000974AE" w:rsidP="00872471">
            <w:pPr>
              <w:tabs>
                <w:tab w:val="left" w:pos="2552"/>
                <w:tab w:val="left" w:pos="3969"/>
              </w:tabs>
              <w:jc w:val="both"/>
              <w:rPr>
                <w:rFonts w:cstheme="minorHAnsi"/>
              </w:rPr>
            </w:pPr>
            <w:r w:rsidRPr="00DB38CE">
              <w:rPr>
                <w:rFonts w:cstheme="minorHAnsi"/>
              </w:rPr>
              <w:t>Nabízené plnění není kvalitativně srovnatelné s nejvhodnější nabídkou, zadavatel má k nabízenému plnění velké množství zásadních připomínek z hlediska naplnění preferencí zadavatele a nabídka jde proti sledovaným cílům.</w:t>
            </w:r>
          </w:p>
        </w:tc>
      </w:tr>
    </w:tbl>
    <w:p w:rsidR="000974AE" w:rsidRPr="00DB38CE" w:rsidRDefault="000974AE" w:rsidP="000974AE">
      <w:pPr>
        <w:rPr>
          <w:rFonts w:cstheme="minorHAnsi"/>
          <w:b/>
          <w:bCs/>
        </w:rPr>
      </w:pPr>
    </w:p>
    <w:p w:rsidR="000974AE" w:rsidRPr="00DB38CE" w:rsidRDefault="000974AE" w:rsidP="000974AE">
      <w:pPr>
        <w:jc w:val="both"/>
        <w:rPr>
          <w:rFonts w:cstheme="minorHAnsi"/>
        </w:rPr>
      </w:pPr>
      <w:r w:rsidRPr="00DB38CE">
        <w:rPr>
          <w:rFonts w:cstheme="minorHAnsi"/>
        </w:rPr>
        <w:t>Jako vhodnější bude hodnocena nabídka toho uchazeče, jehož celkové hodnocení tohoto dílčího kritéria bude vyšší oproti celkovým hodnocením tohoto dílčího kritéria nabízeným ostatními uchazeči. Tato nabídka obdrží 100 bodů. Ostatní nabídky obdrží body dle následujícího vzorce:  </w:t>
      </w:r>
    </w:p>
    <w:p w:rsidR="000974AE" w:rsidRPr="00DB38CE" w:rsidRDefault="000974AE" w:rsidP="000974AE">
      <w:pPr>
        <w:rPr>
          <w:rFonts w:cstheme="minorHAnsi"/>
          <w:sz w:val="20"/>
          <w:szCs w:val="20"/>
        </w:rPr>
      </w:pPr>
      <w:r w:rsidRPr="00DB38CE">
        <w:rPr>
          <w:rFonts w:eastAsiaTheme="minorEastAsia" w:cstheme="minorHAnsi"/>
          <w:iCs/>
          <w:sz w:val="20"/>
          <w:szCs w:val="20"/>
        </w:rPr>
        <w:t xml:space="preserve">0,1 * </w:t>
      </w:r>
      <m:oMath>
        <m:f>
          <m:fPr>
            <m:ctrlPr>
              <w:rPr>
                <w:rFonts w:ascii="Cambria Math" w:hAnsi="Cambria Math" w:cstheme="minorHAnsi"/>
                <w:i/>
                <w:iCs/>
                <w:sz w:val="20"/>
                <w:szCs w:val="20"/>
              </w:rPr>
            </m:ctrlPr>
          </m:fPr>
          <m:num>
            <m:r>
              <w:rPr>
                <w:rFonts w:ascii="Cambria Math" w:hAnsi="Cambria Math" w:cstheme="minorHAnsi"/>
                <w:sz w:val="20"/>
                <w:szCs w:val="20"/>
              </w:rPr>
              <m:t xml:space="preserve">hodnocená nabídka </m:t>
            </m:r>
          </m:num>
          <m:den>
            <m:r>
              <w:rPr>
                <w:rFonts w:ascii="Cambria Math" w:hAnsi="Cambria Math" w:cstheme="minorHAnsi"/>
                <w:sz w:val="20"/>
                <w:szCs w:val="20"/>
              </w:rPr>
              <m:t xml:space="preserve"> nejvhodnější nabídka</m:t>
            </m:r>
          </m:den>
        </m:f>
      </m:oMath>
      <w:r w:rsidRPr="00DB38CE">
        <w:rPr>
          <w:rFonts w:cstheme="minorHAnsi"/>
          <w:sz w:val="20"/>
          <w:szCs w:val="20"/>
        </w:rPr>
        <w:t xml:space="preserve"> * 100 = počet bodů</w:t>
      </w:r>
      <w:r w:rsidRPr="00DB38CE">
        <w:rPr>
          <w:rFonts w:cstheme="minorHAnsi"/>
          <w:sz w:val="20"/>
          <w:szCs w:val="20"/>
        </w:rPr>
        <w:tab/>
      </w:r>
    </w:p>
    <w:p w:rsidR="000974AE" w:rsidRPr="00DB38CE" w:rsidRDefault="000974AE" w:rsidP="000974AE">
      <w:pPr>
        <w:rPr>
          <w:rFonts w:cstheme="minorHAnsi"/>
          <w:sz w:val="20"/>
          <w:szCs w:val="20"/>
        </w:rPr>
      </w:pPr>
    </w:p>
    <w:p w:rsidR="000974AE" w:rsidRDefault="000974AE" w:rsidP="000974AE">
      <w:pPr>
        <w:rPr>
          <w:rFonts w:cstheme="minorHAnsi"/>
        </w:rPr>
      </w:pPr>
      <w:r w:rsidRPr="00DB38CE">
        <w:rPr>
          <w:rFonts w:cstheme="minorHAnsi"/>
        </w:rPr>
        <w:t>Výsledné číslo bude zaokrouhleno na 2 desetinná čísla.</w:t>
      </w:r>
      <w:r w:rsidRPr="00560050">
        <w:rPr>
          <w:rFonts w:cstheme="minorHAnsi"/>
        </w:rPr>
        <w:t> </w:t>
      </w:r>
    </w:p>
    <w:sectPr w:rsidR="000974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48" w:rsidRDefault="00853748">
      <w:pPr>
        <w:spacing w:after="0" w:line="240" w:lineRule="auto"/>
      </w:pPr>
      <w:r>
        <w:separator/>
      </w:r>
    </w:p>
  </w:endnote>
  <w:endnote w:type="continuationSeparator" w:id="0">
    <w:p w:rsidR="00853748" w:rsidRDefault="0085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91113"/>
      <w:docPartObj>
        <w:docPartGallery w:val="Page Numbers (Bottom of Page)"/>
        <w:docPartUnique/>
      </w:docPartObj>
    </w:sdtPr>
    <w:sdtEndPr/>
    <w:sdtContent>
      <w:p w:rsidR="00340615" w:rsidRDefault="00923C30">
        <w:pPr>
          <w:pStyle w:val="Zpat"/>
          <w:jc w:val="center"/>
        </w:pPr>
        <w:r>
          <w:fldChar w:fldCharType="begin"/>
        </w:r>
        <w:r>
          <w:instrText>PAGE   \* MERGEFORMAT</w:instrText>
        </w:r>
        <w:r>
          <w:fldChar w:fldCharType="separate"/>
        </w:r>
        <w:r w:rsidR="00DB38CE">
          <w:rPr>
            <w:noProof/>
          </w:rPr>
          <w:t>1</w:t>
        </w:r>
        <w:r>
          <w:fldChar w:fldCharType="end"/>
        </w:r>
      </w:p>
    </w:sdtContent>
  </w:sdt>
  <w:p w:rsidR="00340615" w:rsidRDefault="008537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48" w:rsidRDefault="00853748">
      <w:pPr>
        <w:spacing w:after="0" w:line="240" w:lineRule="auto"/>
      </w:pPr>
      <w:r>
        <w:separator/>
      </w:r>
    </w:p>
  </w:footnote>
  <w:footnote w:type="continuationSeparator" w:id="0">
    <w:p w:rsidR="00853748" w:rsidRDefault="0085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6404"/>
    <w:multiLevelType w:val="hybridMultilevel"/>
    <w:tmpl w:val="81340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4E562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343244"/>
    <w:multiLevelType w:val="multilevel"/>
    <w:tmpl w:val="23BEB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B652C5"/>
    <w:multiLevelType w:val="hybridMultilevel"/>
    <w:tmpl w:val="F3220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880460"/>
    <w:multiLevelType w:val="multilevel"/>
    <w:tmpl w:val="16BA2D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7B6D0A"/>
    <w:multiLevelType w:val="multilevel"/>
    <w:tmpl w:val="C128A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9F3FCE"/>
    <w:multiLevelType w:val="hybridMultilevel"/>
    <w:tmpl w:val="2398D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38705C"/>
    <w:multiLevelType w:val="hybridMultilevel"/>
    <w:tmpl w:val="A5A2A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F638D0"/>
    <w:multiLevelType w:val="hybridMultilevel"/>
    <w:tmpl w:val="8E165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28403D"/>
    <w:multiLevelType w:val="hybridMultilevel"/>
    <w:tmpl w:val="5EC4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5B4ADE"/>
    <w:multiLevelType w:val="hybridMultilevel"/>
    <w:tmpl w:val="E3445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610234"/>
    <w:multiLevelType w:val="hybridMultilevel"/>
    <w:tmpl w:val="8EEA3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8"/>
  </w:num>
  <w:num w:numId="6">
    <w:abstractNumId w:val="9"/>
  </w:num>
  <w:num w:numId="7">
    <w:abstractNumId w:val="11"/>
  </w:num>
  <w:num w:numId="8">
    <w:abstractNumId w:val="5"/>
  </w:num>
  <w:num w:numId="9">
    <w:abstractNumId w:val="10"/>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77"/>
    <w:rsid w:val="000974AE"/>
    <w:rsid w:val="003F4701"/>
    <w:rsid w:val="004E336A"/>
    <w:rsid w:val="005A4BE8"/>
    <w:rsid w:val="005E3DBC"/>
    <w:rsid w:val="00853748"/>
    <w:rsid w:val="00923C30"/>
    <w:rsid w:val="00A241E7"/>
    <w:rsid w:val="00A819AB"/>
    <w:rsid w:val="00BE7CD6"/>
    <w:rsid w:val="00C3607F"/>
    <w:rsid w:val="00D12A5D"/>
    <w:rsid w:val="00D63175"/>
    <w:rsid w:val="00DB38CE"/>
    <w:rsid w:val="00EF2990"/>
    <w:rsid w:val="00F4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327B"/>
  <w15:chartTrackingRefBased/>
  <w15:docId w15:val="{F383ACE2-291C-452D-A90C-3D5FAFD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974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74AE"/>
    <w:pPr>
      <w:ind w:left="720"/>
      <w:contextualSpacing/>
    </w:pPr>
  </w:style>
  <w:style w:type="character" w:customStyle="1" w:styleId="formdata">
    <w:name w:val="form_data"/>
    <w:basedOn w:val="Standardnpsmoodstavce"/>
    <w:rsid w:val="000974AE"/>
  </w:style>
  <w:style w:type="table" w:styleId="Mkatabulky">
    <w:name w:val="Table Grid"/>
    <w:basedOn w:val="Normlntabulka"/>
    <w:uiPriority w:val="39"/>
    <w:rsid w:val="0009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974AE"/>
    <w:pPr>
      <w:tabs>
        <w:tab w:val="center" w:pos="4536"/>
        <w:tab w:val="right" w:pos="9072"/>
      </w:tabs>
      <w:spacing w:after="0" w:line="240" w:lineRule="auto"/>
    </w:pPr>
  </w:style>
  <w:style w:type="character" w:customStyle="1" w:styleId="ZpatChar">
    <w:name w:val="Zápatí Char"/>
    <w:basedOn w:val="Standardnpsmoodstavce"/>
    <w:link w:val="Zpat"/>
    <w:uiPriority w:val="99"/>
    <w:rsid w:val="0009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1801</Words>
  <Characters>10628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Homolka</dc:creator>
  <cp:keywords/>
  <dc:description/>
  <cp:lastModifiedBy>Adam Homolka</cp:lastModifiedBy>
  <cp:revision>8</cp:revision>
  <dcterms:created xsi:type="dcterms:W3CDTF">2017-03-16T09:09:00Z</dcterms:created>
  <dcterms:modified xsi:type="dcterms:W3CDTF">2017-03-29T15:15:00Z</dcterms:modified>
</cp:coreProperties>
</file>