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1F59EB" w:rsidRDefault="00005789" w:rsidP="00005789">
      <w:pPr>
        <w:tabs>
          <w:tab w:val="left" w:pos="4080"/>
        </w:tabs>
        <w:jc w:val="center"/>
        <w:rPr>
          <w:rFonts w:ascii="Arial" w:hAnsi="Arial" w:cs="Arial"/>
          <w:b/>
          <w:sz w:val="28"/>
          <w:szCs w:val="28"/>
          <w:lang w:val="en-US"/>
        </w:rPr>
      </w:pPr>
      <w:proofErr w:type="spellStart"/>
      <w:proofErr w:type="gramStart"/>
      <w:r w:rsidRPr="00005789">
        <w:rPr>
          <w:rFonts w:ascii="Arial" w:hAnsi="Arial" w:cs="Arial"/>
          <w:b/>
          <w:sz w:val="28"/>
          <w:szCs w:val="28"/>
          <w:lang w:val="en-US"/>
        </w:rPr>
        <w:t>Modernizace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zdroje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tepla</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střediska</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Povodí</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Ohře</w:t>
      </w:r>
      <w:proofErr w:type="spellEnd"/>
      <w:r w:rsidRPr="00005789">
        <w:rPr>
          <w:rFonts w:ascii="Arial" w:hAnsi="Arial" w:cs="Arial"/>
          <w:b/>
          <w:sz w:val="28"/>
          <w:szCs w:val="28"/>
          <w:lang w:val="en-US"/>
        </w:rPr>
        <w:t xml:space="preserve">, </w:t>
      </w:r>
      <w:proofErr w:type="spellStart"/>
      <w:r w:rsidRPr="00005789">
        <w:rPr>
          <w:rFonts w:ascii="Arial" w:hAnsi="Arial" w:cs="Arial"/>
          <w:b/>
          <w:sz w:val="28"/>
          <w:szCs w:val="28"/>
          <w:lang w:val="en-US"/>
        </w:rPr>
        <w:t>s.p</w:t>
      </w:r>
      <w:proofErr w:type="spellEnd"/>
      <w:r w:rsidRPr="00005789">
        <w:rPr>
          <w:rFonts w:ascii="Arial" w:hAnsi="Arial" w:cs="Arial"/>
          <w:b/>
          <w:sz w:val="28"/>
          <w:szCs w:val="28"/>
          <w:lang w:val="en-US"/>
        </w:rPr>
        <w:t>.</w:t>
      </w:r>
      <w:proofErr w:type="gramEnd"/>
    </w:p>
    <w:p w:rsidR="00005789" w:rsidRDefault="00005789"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81D3D" w:rsidRPr="00990E3A" w:rsidRDefault="00D35FAE" w:rsidP="00981D3D">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990E3A" w:rsidRPr="00990E3A">
        <w:rPr>
          <w:rFonts w:ascii="Arial" w:hAnsi="Arial" w:cs="Arial"/>
          <w:sz w:val="22"/>
          <w:szCs w:val="22"/>
        </w:rPr>
        <w:t xml:space="preserve">Pavel </w:t>
      </w:r>
      <w:proofErr w:type="spellStart"/>
      <w:r w:rsidR="00990E3A" w:rsidRPr="00990E3A">
        <w:rPr>
          <w:rFonts w:ascii="Arial" w:hAnsi="Arial" w:cs="Arial"/>
          <w:sz w:val="22"/>
          <w:szCs w:val="22"/>
        </w:rPr>
        <w:t>Marks</w:t>
      </w:r>
      <w:proofErr w:type="spellEnd"/>
    </w:p>
    <w:p w:rsidR="00981D3D" w:rsidRPr="00990E3A" w:rsidRDefault="00981D3D" w:rsidP="00981D3D">
      <w:pPr>
        <w:tabs>
          <w:tab w:val="left" w:pos="3960"/>
        </w:tabs>
        <w:jc w:val="both"/>
        <w:rPr>
          <w:rFonts w:ascii="Arial" w:hAnsi="Arial" w:cs="Arial"/>
          <w:sz w:val="22"/>
          <w:szCs w:val="22"/>
        </w:rPr>
      </w:pPr>
      <w:r w:rsidRPr="00990E3A">
        <w:rPr>
          <w:rFonts w:ascii="Arial" w:hAnsi="Arial" w:cs="Arial"/>
          <w:sz w:val="22"/>
          <w:szCs w:val="22"/>
        </w:rPr>
        <w:tab/>
        <w:t xml:space="preserve">tel: </w:t>
      </w:r>
      <w:r w:rsidR="00990E3A" w:rsidRPr="00990E3A">
        <w:rPr>
          <w:rFonts w:ascii="Arial" w:hAnsi="Arial" w:cs="Arial"/>
          <w:sz w:val="22"/>
          <w:szCs w:val="22"/>
        </w:rPr>
        <w:t>734 245 421</w:t>
      </w:r>
      <w:r w:rsidRPr="00990E3A">
        <w:rPr>
          <w:rFonts w:ascii="Arial" w:hAnsi="Arial" w:cs="Arial"/>
          <w:sz w:val="22"/>
          <w:szCs w:val="22"/>
        </w:rPr>
        <w:t xml:space="preserve">,  e-mail: </w:t>
      </w:r>
      <w:r w:rsidR="00990E3A" w:rsidRPr="00990E3A">
        <w:rPr>
          <w:rFonts w:ascii="Arial" w:hAnsi="Arial" w:cs="Arial"/>
          <w:sz w:val="22"/>
          <w:szCs w:val="22"/>
        </w:rPr>
        <w:t>marks</w:t>
      </w:r>
      <w:r w:rsidRPr="00990E3A">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990E3A">
        <w:rPr>
          <w:rFonts w:ascii="Arial" w:hAnsi="Arial" w:cs="Arial"/>
          <w:b/>
          <w:sz w:val="22"/>
          <w:szCs w:val="22"/>
        </w:rPr>
        <w:t>bankovní spojení:</w:t>
      </w:r>
      <w:r w:rsidRPr="00990E3A">
        <w:rPr>
          <w:rFonts w:ascii="Arial" w:hAnsi="Arial" w:cs="Arial"/>
          <w:b/>
          <w:sz w:val="22"/>
          <w:szCs w:val="22"/>
        </w:rPr>
        <w:tab/>
      </w:r>
      <w:r w:rsidRPr="00990E3A">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Default="00005789" w:rsidP="001F59EB">
      <w:pPr>
        <w:jc w:val="both"/>
        <w:rPr>
          <w:rFonts w:ascii="Arial" w:hAnsi="Arial" w:cs="Arial"/>
          <w:b/>
          <w:szCs w:val="24"/>
          <w:lang w:val="en-US"/>
        </w:rPr>
      </w:pPr>
      <w:proofErr w:type="spellStart"/>
      <w:proofErr w:type="gramStart"/>
      <w:r w:rsidRPr="00005789">
        <w:rPr>
          <w:rFonts w:ascii="Arial" w:hAnsi="Arial" w:cs="Arial"/>
          <w:b/>
          <w:szCs w:val="24"/>
          <w:lang w:val="en-US"/>
        </w:rPr>
        <w:t>Modernizace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zdroje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tepla</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střediska</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Povodí</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Ohře</w:t>
      </w:r>
      <w:proofErr w:type="spellEnd"/>
      <w:r w:rsidRPr="00005789">
        <w:rPr>
          <w:rFonts w:ascii="Arial" w:hAnsi="Arial" w:cs="Arial"/>
          <w:b/>
          <w:szCs w:val="24"/>
          <w:lang w:val="en-US"/>
        </w:rPr>
        <w:t xml:space="preserve">, </w:t>
      </w:r>
      <w:proofErr w:type="spellStart"/>
      <w:r w:rsidRPr="00005789">
        <w:rPr>
          <w:rFonts w:ascii="Arial" w:hAnsi="Arial" w:cs="Arial"/>
          <w:b/>
          <w:szCs w:val="24"/>
          <w:lang w:val="en-US"/>
        </w:rPr>
        <w:t>s.p</w:t>
      </w:r>
      <w:proofErr w:type="spellEnd"/>
      <w:r w:rsidRPr="00005789">
        <w:rPr>
          <w:rFonts w:ascii="Arial" w:hAnsi="Arial" w:cs="Arial"/>
          <w:b/>
          <w:szCs w:val="24"/>
          <w:lang w:val="en-US"/>
        </w:rPr>
        <w:t>.</w:t>
      </w:r>
      <w:proofErr w:type="gramEnd"/>
    </w:p>
    <w:p w:rsidR="00005789" w:rsidRPr="00B1004E" w:rsidRDefault="00005789"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127E9" w:rsidRPr="004423F0" w:rsidRDefault="005127E9" w:rsidP="005127E9">
      <w:pPr>
        <w:ind w:left="426"/>
        <w:rPr>
          <w:rFonts w:ascii="Arial" w:hAnsi="Arial" w:cs="Arial"/>
          <w:b/>
          <w:sz w:val="22"/>
          <w:szCs w:val="22"/>
        </w:rPr>
      </w:pPr>
      <w:r w:rsidRPr="004423F0">
        <w:rPr>
          <w:rFonts w:ascii="Arial" w:hAnsi="Arial" w:cs="Arial"/>
          <w:b/>
          <w:sz w:val="22"/>
          <w:szCs w:val="22"/>
        </w:rPr>
        <w:t>Zahájení díla:</w:t>
      </w:r>
      <w:r w:rsidRPr="004423F0">
        <w:rPr>
          <w:rFonts w:ascii="Arial" w:hAnsi="Arial" w:cs="Arial"/>
          <w:b/>
          <w:sz w:val="22"/>
          <w:szCs w:val="22"/>
        </w:rPr>
        <w:tab/>
      </w:r>
      <w:r w:rsidRPr="004423F0">
        <w:rPr>
          <w:rFonts w:ascii="Arial" w:hAnsi="Arial" w:cs="Arial"/>
          <w:b/>
          <w:sz w:val="22"/>
          <w:szCs w:val="22"/>
        </w:rPr>
        <w:tab/>
        <w:t xml:space="preserve">bez zbytečného odkladu po nabytí účinnosti této smlouvy </w:t>
      </w:r>
    </w:p>
    <w:p w:rsidR="005127E9" w:rsidRPr="004423F0" w:rsidRDefault="005127E9" w:rsidP="005127E9">
      <w:pPr>
        <w:ind w:left="426"/>
        <w:rPr>
          <w:rFonts w:ascii="Arial" w:hAnsi="Arial" w:cs="Arial"/>
          <w:b/>
          <w:sz w:val="22"/>
          <w:szCs w:val="22"/>
        </w:rPr>
      </w:pPr>
      <w:r w:rsidRPr="004423F0">
        <w:rPr>
          <w:rFonts w:ascii="Arial" w:hAnsi="Arial" w:cs="Arial"/>
          <w:b/>
          <w:sz w:val="22"/>
          <w:szCs w:val="22"/>
        </w:rPr>
        <w:t>Ukončení díla:</w:t>
      </w:r>
      <w:r w:rsidRPr="004423F0">
        <w:rPr>
          <w:rFonts w:ascii="Arial" w:hAnsi="Arial" w:cs="Arial"/>
          <w:b/>
          <w:sz w:val="22"/>
          <w:szCs w:val="22"/>
        </w:rPr>
        <w:tab/>
      </w:r>
      <w:r w:rsidRPr="004423F0">
        <w:rPr>
          <w:rFonts w:ascii="Arial" w:hAnsi="Arial" w:cs="Arial"/>
          <w:b/>
          <w:sz w:val="22"/>
          <w:szCs w:val="22"/>
        </w:rPr>
        <w:tab/>
      </w:r>
      <w:r w:rsidR="004423F0" w:rsidRPr="004423F0">
        <w:rPr>
          <w:rFonts w:ascii="Arial" w:hAnsi="Arial" w:cs="Arial"/>
          <w:b/>
          <w:sz w:val="22"/>
          <w:szCs w:val="22"/>
        </w:rPr>
        <w:t xml:space="preserve">nejpozději do </w:t>
      </w:r>
      <w:proofErr w:type="gramStart"/>
      <w:r w:rsidR="004423F0" w:rsidRPr="004423F0">
        <w:rPr>
          <w:rFonts w:ascii="Arial" w:hAnsi="Arial" w:cs="Arial"/>
          <w:b/>
          <w:sz w:val="22"/>
          <w:szCs w:val="22"/>
        </w:rPr>
        <w:t>28.09.2018</w:t>
      </w:r>
      <w:proofErr w:type="gramEnd"/>
      <w:r w:rsidR="004423F0" w:rsidRPr="004423F0">
        <w:rPr>
          <w:rFonts w:ascii="Arial" w:hAnsi="Arial" w:cs="Arial"/>
          <w:b/>
          <w:sz w:val="22"/>
          <w:szCs w:val="22"/>
        </w:rPr>
        <w:t xml:space="preserve"> </w:t>
      </w:r>
      <w:r w:rsidR="004423F0" w:rsidRPr="004423F0">
        <w:rPr>
          <w:rFonts w:ascii="Arial" w:hAnsi="Arial" w:cs="Arial"/>
          <w:sz w:val="22"/>
          <w:szCs w:val="22"/>
        </w:rPr>
        <w:t>(začátek topné sezóny)</w:t>
      </w:r>
    </w:p>
    <w:p w:rsidR="00C86B0F" w:rsidRDefault="00C86B0F" w:rsidP="005127E9">
      <w:pPr>
        <w:overflowPunct/>
        <w:autoSpaceDE/>
        <w:adjustRightInd/>
        <w:ind w:left="426"/>
        <w:rPr>
          <w:rFonts w:ascii="Arial" w:hAnsi="Arial" w:cs="Arial"/>
          <w:color w:val="000000"/>
          <w:sz w:val="22"/>
          <w:szCs w:val="22"/>
        </w:rPr>
      </w:pPr>
    </w:p>
    <w:p w:rsidR="00482FB6" w:rsidRDefault="00482FB6" w:rsidP="00482FB6">
      <w:pPr>
        <w:ind w:left="360" w:hanging="360"/>
        <w:jc w:val="both"/>
        <w:rPr>
          <w:rFonts w:ascii="Arial" w:hAnsi="Arial" w:cs="Arial"/>
          <w:sz w:val="22"/>
          <w:szCs w:val="22"/>
        </w:rPr>
      </w:pPr>
      <w:bookmarkStart w:id="0" w:name="_GoBack"/>
      <w:bookmarkEnd w:id="0"/>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C322D1">
      <w:pPr>
        <w:ind w:firstLine="360"/>
        <w:jc w:val="both"/>
        <w:rPr>
          <w:rFonts w:ascii="Arial" w:hAnsi="Arial" w:cs="Arial"/>
          <w:sz w:val="22"/>
          <w:szCs w:val="22"/>
        </w:rPr>
      </w:pPr>
      <w:r>
        <w:rPr>
          <w:rFonts w:ascii="Arial" w:hAnsi="Arial" w:cs="Arial"/>
          <w:b/>
          <w:sz w:val="22"/>
          <w:szCs w:val="22"/>
        </w:rPr>
        <w:lastRenderedPageBreak/>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p>
    <w:p w:rsidR="00C322D1" w:rsidRDefault="00C322D1" w:rsidP="00C322D1">
      <w:pPr>
        <w:ind w:left="360"/>
        <w:jc w:val="both"/>
        <w:rPr>
          <w:rFonts w:ascii="Arial" w:hAnsi="Arial" w:cs="Arial"/>
          <w:sz w:val="22"/>
          <w:szCs w:val="22"/>
          <w:highlight w:val="yellow"/>
        </w:rPr>
      </w:pPr>
    </w:p>
    <w:p w:rsidR="003541E9" w:rsidRDefault="00990E3A" w:rsidP="006A3650">
      <w:pPr>
        <w:ind w:left="360"/>
        <w:jc w:val="both"/>
        <w:rPr>
          <w:rFonts w:ascii="Arial" w:hAnsi="Arial" w:cs="Arial"/>
          <w:sz w:val="22"/>
          <w:szCs w:val="22"/>
        </w:rPr>
      </w:pPr>
      <w:proofErr w:type="gramStart"/>
      <w:r w:rsidRPr="00990E3A">
        <w:rPr>
          <w:rFonts w:ascii="Arial" w:hAnsi="Arial" w:cs="Arial"/>
          <w:sz w:val="22"/>
          <w:szCs w:val="22"/>
        </w:rPr>
        <w:t>D1.1.</w:t>
      </w:r>
      <w:proofErr w:type="gramEnd"/>
      <w:r w:rsidRPr="00990E3A">
        <w:rPr>
          <w:rFonts w:ascii="Arial" w:hAnsi="Arial" w:cs="Arial"/>
          <w:sz w:val="22"/>
          <w:szCs w:val="22"/>
        </w:rPr>
        <w:t xml:space="preserve"> + </w:t>
      </w:r>
      <w:proofErr w:type="gramStart"/>
      <w:r w:rsidRPr="00990E3A">
        <w:rPr>
          <w:rFonts w:ascii="Arial" w:hAnsi="Arial" w:cs="Arial"/>
          <w:sz w:val="22"/>
          <w:szCs w:val="22"/>
        </w:rPr>
        <w:t>D1.4.1</w:t>
      </w:r>
      <w:proofErr w:type="gramEnd"/>
      <w:r w:rsidRPr="00990E3A">
        <w:rPr>
          <w:rFonts w:ascii="Arial" w:hAnsi="Arial" w:cs="Arial"/>
          <w:sz w:val="22"/>
          <w:szCs w:val="22"/>
        </w:rPr>
        <w:t>-01 + D1.4.1-02 + D1.4.1-03 + D1.4.1-04 + D1.4.2 + D1.5</w:t>
      </w: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990E3A" w:rsidRDefault="0086177F" w:rsidP="0086177F">
      <w:pPr>
        <w:numPr>
          <w:ilvl w:val="3"/>
          <w:numId w:val="3"/>
        </w:numPr>
        <w:ind w:left="426" w:hanging="426"/>
        <w:jc w:val="both"/>
        <w:rPr>
          <w:rFonts w:ascii="Arial" w:hAnsi="Arial" w:cs="Arial"/>
          <w:sz w:val="22"/>
          <w:szCs w:val="22"/>
        </w:rPr>
      </w:pPr>
      <w:r w:rsidRPr="00990E3A">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F9094A">
        <w:rPr>
          <w:rFonts w:ascii="Arial" w:hAnsi="Arial" w:cs="Arial"/>
          <w:color w:val="auto"/>
          <w:sz w:val="22"/>
          <w:szCs w:val="22"/>
        </w:rPr>
        <w:lastRenderedPageBreak/>
        <w:t xml:space="preserve">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lastRenderedPageBreak/>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w:t>
      </w:r>
      <w:r w:rsidRPr="00990E3A">
        <w:rPr>
          <w:rFonts w:cs="Arial"/>
          <w:sz w:val="22"/>
          <w:szCs w:val="22"/>
        </w:rPr>
        <w:t xml:space="preserve">na </w:t>
      </w:r>
      <w:r w:rsidRPr="00990E3A">
        <w:rPr>
          <w:rFonts w:cs="Arial"/>
          <w:b/>
          <w:color w:val="auto"/>
          <w:sz w:val="22"/>
          <w:szCs w:val="22"/>
        </w:rPr>
        <w:t xml:space="preserve">60 </w:t>
      </w:r>
      <w:r w:rsidRPr="00990E3A">
        <w:rPr>
          <w:rFonts w:cs="Arial"/>
          <w:b/>
          <w:sz w:val="22"/>
          <w:szCs w:val="22"/>
        </w:rPr>
        <w:t>měsíců</w:t>
      </w:r>
      <w:r w:rsidRPr="00990E3A">
        <w:rPr>
          <w:rFonts w:cs="Arial"/>
          <w:sz w:val="22"/>
          <w:szCs w:val="22"/>
        </w:rPr>
        <w:t xml:space="preserve"> </w:t>
      </w:r>
      <w:r w:rsidR="00FC4E5D" w:rsidRPr="00990E3A">
        <w:rPr>
          <w:rFonts w:cs="Arial"/>
          <w:sz w:val="22"/>
          <w:szCs w:val="22"/>
        </w:rPr>
        <w:t>(</w:t>
      </w:r>
      <w:r w:rsidR="00FC4E5D" w:rsidRPr="00990E3A">
        <w:rPr>
          <w:rFonts w:cs="Arial"/>
          <w:b/>
          <w:sz w:val="22"/>
          <w:szCs w:val="22"/>
        </w:rPr>
        <w:t>24 měsíců</w:t>
      </w:r>
      <w:r w:rsidR="00FC4E5D" w:rsidRPr="00990E3A">
        <w:rPr>
          <w:rFonts w:cs="Arial"/>
          <w:sz w:val="22"/>
          <w:szCs w:val="22"/>
        </w:rPr>
        <w:t xml:space="preserve"> </w:t>
      </w:r>
      <w:r w:rsidR="00FC4E5D" w:rsidRPr="00990E3A">
        <w:rPr>
          <w:rFonts w:cs="Arial"/>
          <w:i/>
          <w:color w:val="auto"/>
          <w:sz w:val="22"/>
          <w:szCs w:val="22"/>
        </w:rPr>
        <w:t>u akcí technologického charakteru</w:t>
      </w:r>
      <w:r w:rsidR="00FC4E5D" w:rsidRPr="00990E3A">
        <w:rPr>
          <w:rFonts w:cs="Arial"/>
          <w:sz w:val="22"/>
          <w:szCs w:val="22"/>
        </w:rPr>
        <w:t>)</w:t>
      </w:r>
      <w:r w:rsidR="00FC4E5D">
        <w:rPr>
          <w:rFonts w:cs="Arial"/>
          <w:sz w:val="22"/>
          <w:szCs w:val="22"/>
        </w:rPr>
        <w:t xml:space="preserve"> </w:t>
      </w:r>
      <w:r w:rsidRPr="00386410">
        <w:rPr>
          <w:rFonts w:cs="Arial"/>
          <w:sz w:val="22"/>
          <w:szCs w:val="22"/>
        </w:rPr>
        <w:t>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 xml:space="preserve">Smluvní strany níže svým podpisem stvrzují, že v průběhu vyjednávání o této Smlouvě vždy jednaly a postupovaly čestně a transparentně, a současně se zavazují, že takto </w:t>
      </w:r>
      <w:r w:rsidR="00681E3D" w:rsidRPr="00681E3D">
        <w:rPr>
          <w:rFonts w:cs="Arial"/>
          <w:sz w:val="22"/>
          <w:szCs w:val="22"/>
        </w:rPr>
        <w:lastRenderedPageBreak/>
        <w:t>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2" w:history="1">
        <w:r>
          <w:rPr>
            <w:rStyle w:val="Hypertextovodkaz"/>
            <w:rFonts w:cs="Arial"/>
            <w:sz w:val="22"/>
            <w:szCs w:val="22"/>
          </w:rPr>
          <w:t>http://www.poh.cz/profilfirmy/Compliance_programy.htm</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97" w:rsidRDefault="001E3097">
      <w:r>
        <w:separator/>
      </w:r>
    </w:p>
  </w:endnote>
  <w:endnote w:type="continuationSeparator" w:id="0">
    <w:p w:rsidR="001E3097" w:rsidRDefault="001E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423F0">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423F0">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423F0">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423F0">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97" w:rsidRDefault="001E3097">
      <w:r>
        <w:separator/>
      </w:r>
    </w:p>
  </w:footnote>
  <w:footnote w:type="continuationSeparator" w:id="0">
    <w:p w:rsidR="001E3097" w:rsidRDefault="001E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0578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82A31"/>
    <w:rsid w:val="00197AC0"/>
    <w:rsid w:val="001C04BD"/>
    <w:rsid w:val="001C40EA"/>
    <w:rsid w:val="001C6F31"/>
    <w:rsid w:val="001D1432"/>
    <w:rsid w:val="001D3524"/>
    <w:rsid w:val="001D6812"/>
    <w:rsid w:val="001E3097"/>
    <w:rsid w:val="001E5370"/>
    <w:rsid w:val="001F0799"/>
    <w:rsid w:val="001F59EB"/>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23F0"/>
    <w:rsid w:val="0044321A"/>
    <w:rsid w:val="004461E2"/>
    <w:rsid w:val="00446ACB"/>
    <w:rsid w:val="00452D5E"/>
    <w:rsid w:val="004774BF"/>
    <w:rsid w:val="00480060"/>
    <w:rsid w:val="00482FB6"/>
    <w:rsid w:val="0049548C"/>
    <w:rsid w:val="004A2919"/>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53562"/>
    <w:rsid w:val="00657C8C"/>
    <w:rsid w:val="0068009D"/>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0E8"/>
    <w:rsid w:val="008B343D"/>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0E3A"/>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924F7"/>
    <w:rsid w:val="00BA3576"/>
    <w:rsid w:val="00BB0930"/>
    <w:rsid w:val="00BB0952"/>
    <w:rsid w:val="00BB16E1"/>
    <w:rsid w:val="00BC1523"/>
    <w:rsid w:val="00BC6B58"/>
    <w:rsid w:val="00BD0321"/>
    <w:rsid w:val="00BD0CD0"/>
    <w:rsid w:val="00BD51C5"/>
    <w:rsid w:val="00BD5E01"/>
    <w:rsid w:val="00BD5F7E"/>
    <w:rsid w:val="00BF1E18"/>
    <w:rsid w:val="00BF3D9B"/>
    <w:rsid w:val="00BF6CFA"/>
    <w:rsid w:val="00C03258"/>
    <w:rsid w:val="00C13CBA"/>
    <w:rsid w:val="00C16DAF"/>
    <w:rsid w:val="00C20661"/>
    <w:rsid w:val="00C20C4F"/>
    <w:rsid w:val="00C322D1"/>
    <w:rsid w:val="00C506B6"/>
    <w:rsid w:val="00C64F7A"/>
    <w:rsid w:val="00C66556"/>
    <w:rsid w:val="00C86B0F"/>
    <w:rsid w:val="00C931D1"/>
    <w:rsid w:val="00CA7704"/>
    <w:rsid w:val="00CA7CEE"/>
    <w:rsid w:val="00CB478B"/>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5</TotalTime>
  <Pages>8</Pages>
  <Words>2864</Words>
  <Characters>16899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Poschlova Michaela</cp:lastModifiedBy>
  <cp:revision>10</cp:revision>
  <cp:lastPrinted>2010-05-05T09:52:00Z</cp:lastPrinted>
  <dcterms:created xsi:type="dcterms:W3CDTF">2017-12-15T13:43:00Z</dcterms:created>
  <dcterms:modified xsi:type="dcterms:W3CDTF">2018-05-23T09:18:00Z</dcterms:modified>
</cp:coreProperties>
</file>