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2210A" w14:textId="77777777" w:rsidR="00426FCA" w:rsidRDefault="00426FCA" w:rsidP="003C6D3E">
      <w:pPr>
        <w:pStyle w:val="Nadpis1"/>
      </w:pPr>
      <w:r>
        <w:t>Předmět veřejné zakázky: „Ex-ante analýza zavedení finančních nástrojů v PRV v období 2021-2027“</w:t>
      </w:r>
    </w:p>
    <w:p w14:paraId="75AA4D41" w14:textId="77777777" w:rsidR="00426FCA" w:rsidRDefault="00426FCA" w:rsidP="002C3683">
      <w:pPr>
        <w:spacing w:line="276" w:lineRule="auto"/>
        <w:rPr>
          <w:b/>
        </w:rPr>
      </w:pPr>
    </w:p>
    <w:p w14:paraId="2162A18A" w14:textId="77777777" w:rsidR="00666470" w:rsidRPr="00CD06CD" w:rsidRDefault="009763EB" w:rsidP="002C3683">
      <w:pPr>
        <w:spacing w:line="276" w:lineRule="auto"/>
        <w:rPr>
          <w:b/>
        </w:rPr>
      </w:pPr>
      <w:r w:rsidRPr="00CD06CD">
        <w:rPr>
          <w:b/>
        </w:rPr>
        <w:t>FÁZE</w:t>
      </w:r>
      <w:r w:rsidR="00827A08">
        <w:rPr>
          <w:b/>
        </w:rPr>
        <w:t xml:space="preserve"> </w:t>
      </w:r>
      <w:r w:rsidRPr="00CD06CD">
        <w:rPr>
          <w:b/>
        </w:rPr>
        <w:t>I</w:t>
      </w:r>
      <w:r w:rsidR="00A65320" w:rsidRPr="00CD06CD">
        <w:rPr>
          <w:b/>
        </w:rPr>
        <w:t xml:space="preserve"> – podklady pro rozhodnutí</w:t>
      </w:r>
      <w:r w:rsidRPr="00CD06CD">
        <w:rPr>
          <w:b/>
        </w:rPr>
        <w:t>:</w:t>
      </w:r>
    </w:p>
    <w:p w14:paraId="5FDBE666" w14:textId="4CC3739E" w:rsidR="009763EB" w:rsidRDefault="0085245A" w:rsidP="002C3683">
      <w:pPr>
        <w:pStyle w:val="Odstavecseseznamem"/>
        <w:numPr>
          <w:ilvl w:val="0"/>
          <w:numId w:val="1"/>
        </w:numPr>
        <w:spacing w:line="276" w:lineRule="auto"/>
      </w:pPr>
      <w:r>
        <w:t>stručná</w:t>
      </w:r>
      <w:r w:rsidR="009763EB">
        <w:t xml:space="preserve"> rešerše legislativy </w:t>
      </w:r>
      <w:r w:rsidR="00A65320">
        <w:t xml:space="preserve">vztahující se k FN </w:t>
      </w:r>
      <w:r w:rsidR="00341FEE">
        <w:t xml:space="preserve">financovaných </w:t>
      </w:r>
      <w:r w:rsidR="00A65320">
        <w:t>z</w:t>
      </w:r>
      <w:r>
        <w:t> </w:t>
      </w:r>
      <w:r w:rsidR="0031113F">
        <w:t>EZFRV</w:t>
      </w:r>
      <w:r>
        <w:t xml:space="preserve"> pro období 2021-2027 (právní rámec)</w:t>
      </w:r>
      <w:r w:rsidR="00E56D33">
        <w:t xml:space="preserve">: </w:t>
      </w:r>
      <w:r w:rsidR="00A65320">
        <w:t xml:space="preserve">aktuální </w:t>
      </w:r>
      <w:proofErr w:type="spellStart"/>
      <w:r w:rsidR="00A65320">
        <w:t>Evr</w:t>
      </w:r>
      <w:proofErr w:type="spellEnd"/>
      <w:r w:rsidR="00A65320">
        <w:t xml:space="preserve">. nařízení, </w:t>
      </w:r>
      <w:r w:rsidR="009763EB">
        <w:t xml:space="preserve">pracovní verze </w:t>
      </w:r>
      <w:proofErr w:type="spellStart"/>
      <w:r w:rsidR="009763EB">
        <w:t>Evr</w:t>
      </w:r>
      <w:proofErr w:type="spellEnd"/>
      <w:r w:rsidR="009763EB">
        <w:t>. nařízení</w:t>
      </w:r>
      <w:r w:rsidR="00A65320">
        <w:t xml:space="preserve"> pro příští období</w:t>
      </w:r>
      <w:r w:rsidR="009763EB">
        <w:t xml:space="preserve">, </w:t>
      </w:r>
      <w:r w:rsidR="00852244">
        <w:t xml:space="preserve">metodická vodítka EK, </w:t>
      </w:r>
      <w:r w:rsidR="009763EB">
        <w:t>platn</w:t>
      </w:r>
      <w:r w:rsidR="00A65320">
        <w:t>á</w:t>
      </w:r>
      <w:r w:rsidR="009763EB">
        <w:t xml:space="preserve"> česká legislativa</w:t>
      </w:r>
      <w:r w:rsidR="000529B6">
        <w:t xml:space="preserve"> (zejm. Zákon o zemědělství)</w:t>
      </w:r>
      <w:r w:rsidR="0031113F">
        <w:t>, Dohoda WTO o zemědělství</w:t>
      </w:r>
      <w:r w:rsidR="00EE2BE7">
        <w:t xml:space="preserve">, popsání vlivu nařízení k veřejné podpoře na FN, posouzení rozdílných ustanovení jednotlivých předpisů a z toho plynoucích důsledků </w:t>
      </w:r>
      <w:r w:rsidR="00047ABD">
        <w:t>(preferujeme využití výstupů ÚZEI a zaměření na novou legislativu)</w:t>
      </w:r>
      <w:r w:rsidR="00DC440E">
        <w:t>,</w:t>
      </w:r>
    </w:p>
    <w:p w14:paraId="1222CAE6" w14:textId="77777777" w:rsidR="00D334B2" w:rsidRDefault="00D334B2" w:rsidP="002C3683">
      <w:pPr>
        <w:pStyle w:val="Odstavecseseznamem"/>
        <w:numPr>
          <w:ilvl w:val="0"/>
          <w:numId w:val="1"/>
        </w:numPr>
        <w:spacing w:line="276" w:lineRule="auto"/>
      </w:pPr>
      <w:r>
        <w:t>posouzení zkušeností při využití FN v AGRI sektoru</w:t>
      </w:r>
      <w:r w:rsidR="009C0C40">
        <w:rPr>
          <w:rStyle w:val="Znakapoznpodarou"/>
        </w:rPr>
        <w:footnoteReference w:id="1"/>
      </w:r>
      <w:r>
        <w:t xml:space="preserve"> v ostatní</w:t>
      </w:r>
      <w:r w:rsidR="003C7AD7">
        <w:t>ch</w:t>
      </w:r>
      <w:r>
        <w:t xml:space="preserve"> státech</w:t>
      </w:r>
      <w:r w:rsidR="009B083A">
        <w:t xml:space="preserve"> či regionech</w:t>
      </w:r>
      <w:r>
        <w:t xml:space="preserve"> EU</w:t>
      </w:r>
      <w:r w:rsidR="00E56D33">
        <w:t>:</w:t>
      </w:r>
      <w:r w:rsidRPr="00265CF7">
        <w:t xml:space="preserve"> </w:t>
      </w:r>
      <w:r>
        <w:t xml:space="preserve">ex-ante, případové studie 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 w:rsidR="00E56D33">
        <w:t xml:space="preserve"> </w:t>
      </w:r>
      <w:r w:rsidR="00047ABD">
        <w:t xml:space="preserve">(preferujeme využití </w:t>
      </w:r>
      <w:r w:rsidR="009B083A">
        <w:t>již provedených srovnání</w:t>
      </w:r>
      <w:r w:rsidR="00047ABD">
        <w:t xml:space="preserve"> ÚZEI</w:t>
      </w:r>
      <w:r w:rsidR="00E56D33">
        <w:t xml:space="preserve"> a </w:t>
      </w:r>
      <w:r w:rsidR="009B083A">
        <w:t xml:space="preserve">samostatné </w:t>
      </w:r>
      <w:r w:rsidR="00E56D33">
        <w:t>posouzení řešení jiných států či regionů, které jsou svými podmínkami či specifiky blízké ČR a kterými by bylo vhodné se inspirovat</w:t>
      </w:r>
      <w:r w:rsidR="009B083A">
        <w:t xml:space="preserve">; je možné využít případových studií </w:t>
      </w:r>
      <w:proofErr w:type="spellStart"/>
      <w:r w:rsidR="009B083A">
        <w:t>Fi-compassu</w:t>
      </w:r>
      <w:proofErr w:type="spellEnd"/>
      <w:r w:rsidR="00047ABD">
        <w:t>)</w:t>
      </w:r>
      <w:r w:rsidR="00DC440E">
        <w:t>,</w:t>
      </w:r>
    </w:p>
    <w:p w14:paraId="5BCE85FC" w14:textId="77777777" w:rsidR="00BE51EC" w:rsidRDefault="00BE51EC" w:rsidP="00230F54">
      <w:pPr>
        <w:pStyle w:val="Odstavecseseznamem"/>
        <w:numPr>
          <w:ilvl w:val="0"/>
          <w:numId w:val="1"/>
        </w:numPr>
        <w:spacing w:line="276" w:lineRule="auto"/>
      </w:pPr>
      <w:r>
        <w:t>analýza AGRI sektoru z pohledu struktury</w:t>
      </w:r>
      <w:r w:rsidR="00543EA3">
        <w:t>,</w:t>
      </w:r>
      <w:r>
        <w:t xml:space="preserve"> produkce, růstu a ziskovosti</w:t>
      </w:r>
      <w:r w:rsidR="00230F54">
        <w:t xml:space="preserve"> </w:t>
      </w:r>
      <w:r w:rsidR="00230F54" w:rsidRPr="00230F54">
        <w:t>(možno využít výstupů analýz ÚZEI)</w:t>
      </w:r>
      <w:r w:rsidR="00DC440E">
        <w:t>,</w:t>
      </w:r>
    </w:p>
    <w:p w14:paraId="1CF709BD" w14:textId="77777777" w:rsidR="009763EB" w:rsidRDefault="009763EB" w:rsidP="006B3B1F">
      <w:pPr>
        <w:pStyle w:val="Odstavecseseznamem"/>
        <w:numPr>
          <w:ilvl w:val="0"/>
          <w:numId w:val="1"/>
        </w:numPr>
        <w:spacing w:line="276" w:lineRule="auto"/>
      </w:pPr>
      <w:r>
        <w:t>analýza</w:t>
      </w:r>
      <w:r w:rsidR="006B3B1F">
        <w:t xml:space="preserve"> </w:t>
      </w:r>
      <w:r w:rsidR="00812E65">
        <w:t xml:space="preserve">potřeb financování sektoru </w:t>
      </w:r>
      <w:r w:rsidR="006B3B1F">
        <w:t>a</w:t>
      </w:r>
      <w:r>
        <w:t xml:space="preserve"> </w:t>
      </w:r>
      <w:r w:rsidR="00BE51EC">
        <w:t xml:space="preserve">zdrojů financování investic </w:t>
      </w:r>
      <w:r w:rsidR="006B3B1F">
        <w:t>v AGRI sektoru na finančních trzích</w:t>
      </w:r>
      <w:r w:rsidR="00125765">
        <w:t xml:space="preserve"> </w:t>
      </w:r>
      <w:r w:rsidR="006266C5">
        <w:t>včetně aktivit PGRLF</w:t>
      </w:r>
      <w:r w:rsidR="00A65320">
        <w:t xml:space="preserve"> (možno využít </w:t>
      </w:r>
      <w:r w:rsidR="00CB265F">
        <w:t xml:space="preserve">výstupů analýz </w:t>
      </w:r>
      <w:r w:rsidR="00A65320">
        <w:t>ÚZEI)</w:t>
      </w:r>
      <w:r w:rsidR="00DC440E">
        <w:t>,</w:t>
      </w:r>
    </w:p>
    <w:p w14:paraId="4C3D4E6F" w14:textId="77777777" w:rsidR="00144BD4" w:rsidRDefault="006266C5" w:rsidP="00BE51EC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9D4D40">
        <w:rPr>
          <w:b/>
        </w:rPr>
        <w:t xml:space="preserve">analýza </w:t>
      </w:r>
      <w:r w:rsidR="00D0771A" w:rsidRPr="009D4D40">
        <w:rPr>
          <w:b/>
        </w:rPr>
        <w:t>nabídky finančních zdrojů</w:t>
      </w:r>
      <w:r w:rsidRPr="009D4D40">
        <w:rPr>
          <w:b/>
        </w:rPr>
        <w:t xml:space="preserve"> </w:t>
      </w:r>
      <w:r w:rsidR="00D64DB8" w:rsidRPr="009D4D40">
        <w:rPr>
          <w:b/>
        </w:rPr>
        <w:t>vč.</w:t>
      </w:r>
      <w:r w:rsidR="00F81E54" w:rsidRPr="009D4D40">
        <w:rPr>
          <w:b/>
        </w:rPr>
        <w:t xml:space="preserve"> identifikac</w:t>
      </w:r>
      <w:r w:rsidR="00D64DB8" w:rsidRPr="009D4D40">
        <w:rPr>
          <w:b/>
        </w:rPr>
        <w:t>e příp.</w:t>
      </w:r>
      <w:r w:rsidR="00F81E54" w:rsidRPr="009D4D40">
        <w:rPr>
          <w:b/>
        </w:rPr>
        <w:t xml:space="preserve"> </w:t>
      </w:r>
      <w:r w:rsidR="0048786B" w:rsidRPr="009D4D40">
        <w:rPr>
          <w:b/>
        </w:rPr>
        <w:t>tržní</w:t>
      </w:r>
      <w:r w:rsidR="00D64DB8" w:rsidRPr="009D4D40">
        <w:rPr>
          <w:b/>
        </w:rPr>
        <w:t>ho</w:t>
      </w:r>
      <w:r w:rsidR="0048786B" w:rsidRPr="009D4D40">
        <w:rPr>
          <w:b/>
        </w:rPr>
        <w:t xml:space="preserve"> </w:t>
      </w:r>
      <w:r w:rsidR="00F81E54" w:rsidRPr="009D4D40">
        <w:rPr>
          <w:b/>
        </w:rPr>
        <w:t xml:space="preserve">selhání a </w:t>
      </w:r>
      <w:r w:rsidRPr="009D4D40">
        <w:rPr>
          <w:b/>
        </w:rPr>
        <w:t>kvantifikac</w:t>
      </w:r>
      <w:r w:rsidR="00D64DB8" w:rsidRPr="009D4D40">
        <w:rPr>
          <w:b/>
        </w:rPr>
        <w:t>e</w:t>
      </w:r>
      <w:r w:rsidRPr="009D4D40">
        <w:rPr>
          <w:b/>
        </w:rPr>
        <w:t xml:space="preserve"> </w:t>
      </w:r>
      <w:r w:rsidR="00A258C0" w:rsidRPr="009D4D40">
        <w:rPr>
          <w:b/>
        </w:rPr>
        <w:t>finanční mezery</w:t>
      </w:r>
      <w:r w:rsidR="00BE51EC" w:rsidRPr="009D4D40">
        <w:rPr>
          <w:b/>
        </w:rPr>
        <w:t xml:space="preserve"> </w:t>
      </w:r>
      <w:r w:rsidR="00D64DB8" w:rsidRPr="009D4D40">
        <w:rPr>
          <w:b/>
        </w:rPr>
        <w:t>- s</w:t>
      </w:r>
      <w:r w:rsidR="00BE51EC" w:rsidRPr="009D4D40">
        <w:rPr>
          <w:b/>
        </w:rPr>
        <w:t xml:space="preserve"> výhled</w:t>
      </w:r>
      <w:r w:rsidR="00D64DB8" w:rsidRPr="009D4D40">
        <w:rPr>
          <w:b/>
        </w:rPr>
        <w:t>em</w:t>
      </w:r>
      <w:r w:rsidR="00BE51EC" w:rsidRPr="009D4D40">
        <w:rPr>
          <w:b/>
        </w:rPr>
        <w:t xml:space="preserve"> ekonomické situace v AGRI sektoru po </w:t>
      </w:r>
      <w:r w:rsidR="00D64DB8" w:rsidRPr="009D4D40">
        <w:rPr>
          <w:b/>
        </w:rPr>
        <w:t>roce</w:t>
      </w:r>
      <w:r w:rsidR="00BE51EC" w:rsidRPr="009D4D40">
        <w:rPr>
          <w:b/>
        </w:rPr>
        <w:t xml:space="preserve"> 202</w:t>
      </w:r>
      <w:r w:rsidR="00D64DB8" w:rsidRPr="009D4D40">
        <w:rPr>
          <w:b/>
        </w:rPr>
        <w:t>0</w:t>
      </w:r>
      <w:r w:rsidR="00543EA3">
        <w:rPr>
          <w:b/>
        </w:rPr>
        <w:t xml:space="preserve"> (</w:t>
      </w:r>
      <w:r w:rsidR="00543EA3" w:rsidRPr="008A4EF2">
        <w:t xml:space="preserve">2 </w:t>
      </w:r>
      <w:r w:rsidR="00543EA3">
        <w:t>scénáře nejpravděpodobnějšího</w:t>
      </w:r>
      <w:r w:rsidR="00543EA3" w:rsidRPr="008A4EF2">
        <w:t xml:space="preserve"> vývoje na trhu</w:t>
      </w:r>
      <w:r w:rsidR="00543EA3">
        <w:t xml:space="preserve"> po roce 2020)</w:t>
      </w:r>
      <w:r w:rsidR="00DC440E">
        <w:rPr>
          <w:b/>
        </w:rPr>
        <w:t>,</w:t>
      </w:r>
    </w:p>
    <w:p w14:paraId="66F6C9B2" w14:textId="79E3AFF1" w:rsidR="00963BC4" w:rsidRDefault="00963BC4" w:rsidP="00963BC4">
      <w:pPr>
        <w:pStyle w:val="Odstavecseseznamem"/>
        <w:numPr>
          <w:ilvl w:val="0"/>
          <w:numId w:val="1"/>
        </w:numPr>
        <w:spacing w:line="276" w:lineRule="auto"/>
      </w:pPr>
      <w:r w:rsidRPr="00C03FB4">
        <w:rPr>
          <w:b/>
        </w:rPr>
        <w:t>doporučení / nedoporučení k implementaci FN z EZFRV v období 2021-2027 vč. zdůvodnění</w:t>
      </w:r>
      <w:r>
        <w:t xml:space="preserve"> – např.: selhání trhu a tržní mezera, snížení rozpočtu SZP pro ČR, menší negativní dopady FN ve srovnání s grantovým financováním, závislost sektoru na dotacích, změna chování konečných příjemců, pozitivní </w:t>
      </w:r>
      <w:proofErr w:type="spellStart"/>
      <w:r>
        <w:t>enviro</w:t>
      </w:r>
      <w:proofErr w:type="spellEnd"/>
      <w:r>
        <w:t xml:space="preserve"> dopady apod. (možno využít výstupů analýz ÚZEI)</w:t>
      </w:r>
      <w:r w:rsidR="00040652">
        <w:t>.</w:t>
      </w:r>
    </w:p>
    <w:p w14:paraId="5909D434" w14:textId="77777777" w:rsidR="009763EB" w:rsidRDefault="009763EB" w:rsidP="002C3683">
      <w:pPr>
        <w:spacing w:line="276" w:lineRule="auto"/>
      </w:pPr>
    </w:p>
    <w:p w14:paraId="691EBF81" w14:textId="77777777" w:rsidR="009763EB" w:rsidRPr="00CD06CD" w:rsidRDefault="009763EB" w:rsidP="002C3683">
      <w:pPr>
        <w:spacing w:line="276" w:lineRule="auto"/>
        <w:rPr>
          <w:b/>
        </w:rPr>
      </w:pPr>
      <w:r w:rsidRPr="00CD06CD">
        <w:rPr>
          <w:b/>
        </w:rPr>
        <w:t>FÁZE</w:t>
      </w:r>
      <w:r w:rsidR="00827A08">
        <w:rPr>
          <w:b/>
        </w:rPr>
        <w:t xml:space="preserve"> </w:t>
      </w:r>
      <w:r w:rsidRPr="00CD06CD">
        <w:rPr>
          <w:b/>
        </w:rPr>
        <w:t>II</w:t>
      </w:r>
      <w:r w:rsidR="00A65320" w:rsidRPr="00CD06CD">
        <w:rPr>
          <w:b/>
        </w:rPr>
        <w:t xml:space="preserve"> – návrh implementace FN</w:t>
      </w:r>
      <w:r w:rsidR="00AE3A2F" w:rsidRPr="00CD06CD">
        <w:rPr>
          <w:b/>
        </w:rPr>
        <w:t xml:space="preserve"> pro období 2021-2027</w:t>
      </w:r>
      <w:r w:rsidRPr="00CD06CD">
        <w:rPr>
          <w:b/>
        </w:rPr>
        <w:t>:</w:t>
      </w:r>
    </w:p>
    <w:p w14:paraId="5BA5B84A" w14:textId="77777777" w:rsidR="00930652" w:rsidRDefault="00930652" w:rsidP="002C3683">
      <w:pPr>
        <w:pStyle w:val="Odstavecseseznamem"/>
        <w:numPr>
          <w:ilvl w:val="0"/>
          <w:numId w:val="1"/>
        </w:numPr>
        <w:spacing w:line="276" w:lineRule="auto"/>
      </w:pPr>
      <w:r>
        <w:t xml:space="preserve">výběr nejvhodnějších </w:t>
      </w:r>
      <w:r w:rsidR="00CB265F">
        <w:t xml:space="preserve">intervencí </w:t>
      </w:r>
      <w:r w:rsidR="00E76829">
        <w:t>pro</w:t>
      </w:r>
      <w:r w:rsidR="00E177BC">
        <w:t xml:space="preserve"> uplatnění FN</w:t>
      </w:r>
      <w:r w:rsidR="00DC440E">
        <w:t>,</w:t>
      </w:r>
    </w:p>
    <w:p w14:paraId="661DDE98" w14:textId="77777777" w:rsidR="00040652" w:rsidRDefault="00040652" w:rsidP="00040652">
      <w:pPr>
        <w:pStyle w:val="Odstavecseseznamem"/>
        <w:numPr>
          <w:ilvl w:val="0"/>
          <w:numId w:val="1"/>
        </w:numPr>
        <w:spacing w:line="276" w:lineRule="auto"/>
      </w:pPr>
      <w:r w:rsidRPr="00DA29B0">
        <w:rPr>
          <w:b/>
        </w:rPr>
        <w:t>doporučení subjektu pro případnou správu FN</w:t>
      </w:r>
      <w:r>
        <w:t xml:space="preserve"> - porovnání různých variant správy FN vč. zhodnocení kladů a záporů různých správců FN (možno využít analýz MZe a ÚZEI),</w:t>
      </w:r>
      <w:r w:rsidRPr="00752D9A" w:rsidDel="00963BC4">
        <w:t xml:space="preserve"> </w:t>
      </w:r>
    </w:p>
    <w:p w14:paraId="7285DDCB" w14:textId="4BA0C714" w:rsidR="00040652" w:rsidRDefault="00A77430" w:rsidP="00830B47">
      <w:pPr>
        <w:pStyle w:val="Odstavecseseznamem"/>
        <w:numPr>
          <w:ilvl w:val="0"/>
          <w:numId w:val="1"/>
        </w:numPr>
        <w:spacing w:line="276" w:lineRule="auto"/>
      </w:pPr>
      <w:r>
        <w:t>návrh</w:t>
      </w:r>
      <w:r w:rsidR="00040652" w:rsidDel="00963BC4">
        <w:t xml:space="preserve"> </w:t>
      </w:r>
      <w:r w:rsidR="00830B47">
        <w:t>právních dokumentů</w:t>
      </w:r>
      <w:r w:rsidR="00830B47" w:rsidDel="00963BC4">
        <w:t xml:space="preserve"> </w:t>
      </w:r>
      <w:r w:rsidR="00830B47">
        <w:t>potřebných</w:t>
      </w:r>
      <w:r w:rsidR="00830B47" w:rsidDel="00963BC4">
        <w:t xml:space="preserve"> </w:t>
      </w:r>
      <w:r w:rsidR="00040652" w:rsidDel="00963BC4">
        <w:t>pro zadání realizace FN do</w:t>
      </w:r>
      <w:r w:rsidR="00040652">
        <w:t xml:space="preserve">poručenému správci </w:t>
      </w:r>
      <w:r w:rsidR="00830B47">
        <w:t xml:space="preserve">(např. </w:t>
      </w:r>
      <w:r w:rsidR="00830B47" w:rsidRPr="00830B47">
        <w:t>dle §1</w:t>
      </w:r>
      <w:r w:rsidR="00830B47">
        <w:t>1</w:t>
      </w:r>
      <w:r w:rsidR="00830B47" w:rsidRPr="00830B47">
        <w:t xml:space="preserve"> zák. 134/2016 Sb.</w:t>
      </w:r>
      <w:r w:rsidR="00830B47">
        <w:t>),</w:t>
      </w:r>
    </w:p>
    <w:p w14:paraId="7F9BD575" w14:textId="77777777" w:rsidR="009763EB" w:rsidRPr="008D4014" w:rsidRDefault="00265CF7" w:rsidP="002C368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8D4014">
        <w:rPr>
          <w:b/>
        </w:rPr>
        <w:t xml:space="preserve">výběr nejvhodnějších </w:t>
      </w:r>
      <w:r w:rsidR="008D4014" w:rsidRPr="008D4014">
        <w:rPr>
          <w:b/>
        </w:rPr>
        <w:t>finančních produktů</w:t>
      </w:r>
      <w:r w:rsidR="00A258C0" w:rsidRPr="00D334B2">
        <w:t xml:space="preserve"> </w:t>
      </w:r>
      <w:r w:rsidR="00D334B2" w:rsidRPr="00D334B2">
        <w:t>vč. případné kombinace s</w:t>
      </w:r>
      <w:r w:rsidR="003C7AD7">
        <w:t> </w:t>
      </w:r>
      <w:r w:rsidR="00D334B2" w:rsidRPr="00D334B2">
        <w:t>granty</w:t>
      </w:r>
      <w:r w:rsidR="003C7AD7">
        <w:t xml:space="preserve"> a případné potřeby rozdílného zacházení s investory</w:t>
      </w:r>
      <w:r w:rsidR="00DC440E">
        <w:t>,</w:t>
      </w:r>
    </w:p>
    <w:p w14:paraId="1858DCE5" w14:textId="77777777" w:rsidR="00D334B2" w:rsidRPr="008D4014" w:rsidRDefault="00D334B2" w:rsidP="002C368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8D4014">
        <w:rPr>
          <w:b/>
        </w:rPr>
        <w:t xml:space="preserve">výběr cílových příjemců/skupin dle různých kategorií (velikost podniků, </w:t>
      </w:r>
      <w:r w:rsidR="00E177BC">
        <w:rPr>
          <w:b/>
        </w:rPr>
        <w:t xml:space="preserve">výrobní </w:t>
      </w:r>
      <w:r w:rsidRPr="008D4014">
        <w:rPr>
          <w:b/>
        </w:rPr>
        <w:t>zaměření podniků,</w:t>
      </w:r>
      <w:r w:rsidR="0048786B">
        <w:rPr>
          <w:b/>
        </w:rPr>
        <w:t xml:space="preserve"> délka existence podniku</w:t>
      </w:r>
      <w:r w:rsidR="0069457D">
        <w:rPr>
          <w:b/>
        </w:rPr>
        <w:t xml:space="preserve">, </w:t>
      </w:r>
      <w:proofErr w:type="spellStart"/>
      <w:r w:rsidR="0069457D">
        <w:rPr>
          <w:b/>
        </w:rPr>
        <w:t>enviro</w:t>
      </w:r>
      <w:proofErr w:type="spellEnd"/>
      <w:r w:rsidR="0069457D">
        <w:rPr>
          <w:b/>
        </w:rPr>
        <w:t xml:space="preserve">. aspekty </w:t>
      </w:r>
      <w:r>
        <w:rPr>
          <w:b/>
        </w:rPr>
        <w:t>a</w:t>
      </w:r>
      <w:r w:rsidR="00B06DFA">
        <w:rPr>
          <w:b/>
        </w:rPr>
        <w:t>j</w:t>
      </w:r>
      <w:r>
        <w:rPr>
          <w:b/>
        </w:rPr>
        <w:t>.)</w:t>
      </w:r>
      <w:r w:rsidR="00DC440E">
        <w:rPr>
          <w:b/>
        </w:rPr>
        <w:t>,</w:t>
      </w:r>
    </w:p>
    <w:p w14:paraId="241F0C8B" w14:textId="77777777" w:rsidR="00D334B2" w:rsidRDefault="00D334B2" w:rsidP="002C368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8D4014">
        <w:rPr>
          <w:b/>
        </w:rPr>
        <w:t>navrhovaná výše příspěvku programu na jednotlivé FN</w:t>
      </w:r>
      <w:r w:rsidR="004F162D">
        <w:rPr>
          <w:b/>
        </w:rPr>
        <w:t xml:space="preserve"> (dle předpokládané absorpční kapacity</w:t>
      </w:r>
      <w:r w:rsidR="00B06DFA">
        <w:rPr>
          <w:b/>
        </w:rPr>
        <w:t xml:space="preserve"> a rozpočtu PRV</w:t>
      </w:r>
      <w:r w:rsidR="004F162D">
        <w:rPr>
          <w:b/>
        </w:rPr>
        <w:t>)</w:t>
      </w:r>
      <w:r w:rsidRPr="008D4014">
        <w:rPr>
          <w:b/>
        </w:rPr>
        <w:t xml:space="preserve"> a opatření vč. očekávaného pákového efektu (výpočet dle </w:t>
      </w:r>
      <w:r w:rsidR="0048786B">
        <w:rPr>
          <w:b/>
        </w:rPr>
        <w:t>metodik</w:t>
      </w:r>
      <w:r w:rsidR="009C0C40">
        <w:rPr>
          <w:b/>
        </w:rPr>
        <w:t>y</w:t>
      </w:r>
      <w:r w:rsidR="0048786B">
        <w:rPr>
          <w:b/>
        </w:rPr>
        <w:t xml:space="preserve"> </w:t>
      </w:r>
      <w:r w:rsidRPr="008D4014">
        <w:rPr>
          <w:b/>
        </w:rPr>
        <w:t>E</w:t>
      </w:r>
      <w:r w:rsidR="00DC440E">
        <w:rPr>
          <w:b/>
        </w:rPr>
        <w:t>K) a podílu soukromého kapitálu,</w:t>
      </w:r>
    </w:p>
    <w:p w14:paraId="5630F1AF" w14:textId="77777777" w:rsidR="00D334B2" w:rsidRPr="008D4014" w:rsidRDefault="00D334B2" w:rsidP="002C3683">
      <w:pPr>
        <w:pStyle w:val="Odstavecseseznamem"/>
        <w:numPr>
          <w:ilvl w:val="0"/>
          <w:numId w:val="1"/>
        </w:numPr>
        <w:spacing w:line="276" w:lineRule="auto"/>
        <w:rPr>
          <w:b/>
        </w:rPr>
      </w:pPr>
      <w:r w:rsidRPr="008D4014">
        <w:rPr>
          <w:b/>
        </w:rPr>
        <w:t xml:space="preserve">očekávaný příspěvek finančního nástroje k dosažení konkrétních </w:t>
      </w:r>
      <w:r w:rsidR="0048786B">
        <w:rPr>
          <w:b/>
        </w:rPr>
        <w:t xml:space="preserve">specifických </w:t>
      </w:r>
      <w:r w:rsidRPr="008D4014">
        <w:rPr>
          <w:b/>
        </w:rPr>
        <w:t>cílů</w:t>
      </w:r>
      <w:r w:rsidR="0048786B">
        <w:rPr>
          <w:b/>
        </w:rPr>
        <w:t xml:space="preserve"> definovaných </w:t>
      </w:r>
      <w:r w:rsidR="00D64DB8">
        <w:rPr>
          <w:b/>
        </w:rPr>
        <w:t xml:space="preserve">v </w:t>
      </w:r>
      <w:r w:rsidR="00A053F6">
        <w:rPr>
          <w:b/>
        </w:rPr>
        <w:t xml:space="preserve">návrzích </w:t>
      </w:r>
      <w:r w:rsidR="00D64DB8">
        <w:rPr>
          <w:b/>
        </w:rPr>
        <w:t>nařízení EK</w:t>
      </w:r>
      <w:r w:rsidR="00A053F6">
        <w:rPr>
          <w:b/>
        </w:rPr>
        <w:t xml:space="preserve"> k podpoře Strategických plánů SZP</w:t>
      </w:r>
      <w:r w:rsidR="00B06DFA">
        <w:rPr>
          <w:b/>
        </w:rPr>
        <w:t>,</w:t>
      </w:r>
    </w:p>
    <w:p w14:paraId="62A3125E" w14:textId="0928A735" w:rsidR="00DC440E" w:rsidRDefault="00DC440E" w:rsidP="00DC440E">
      <w:pPr>
        <w:pStyle w:val="Odstavecseseznamem"/>
        <w:numPr>
          <w:ilvl w:val="0"/>
          <w:numId w:val="1"/>
        </w:numPr>
        <w:spacing w:line="276" w:lineRule="auto"/>
      </w:pPr>
      <w:r>
        <w:lastRenderedPageBreak/>
        <w:t xml:space="preserve">analýza situace a možností na trhu pro subjekty, pro které nebude doporučena podpora prostřednictvím FN (grantové financování, FN z jiných oper. </w:t>
      </w:r>
      <w:proofErr w:type="gramStart"/>
      <w:r>
        <w:t>programů</w:t>
      </w:r>
      <w:proofErr w:type="gramEnd"/>
      <w:r>
        <w:t xml:space="preserve">, jiné možnosti financování např. </w:t>
      </w:r>
      <w:proofErr w:type="spellStart"/>
      <w:r>
        <w:t>InvestEU</w:t>
      </w:r>
      <w:proofErr w:type="spellEnd"/>
      <w:r>
        <w:t xml:space="preserve"> či EIB)</w:t>
      </w:r>
      <w:r w:rsidR="00EF4C6F">
        <w:t>,</w:t>
      </w:r>
    </w:p>
    <w:p w14:paraId="25048C92" w14:textId="77A35E7D" w:rsidR="00A258C0" w:rsidRDefault="00A258C0" w:rsidP="002C3683">
      <w:pPr>
        <w:pStyle w:val="Odstavecseseznamem"/>
        <w:numPr>
          <w:ilvl w:val="0"/>
          <w:numId w:val="1"/>
        </w:numPr>
        <w:spacing w:line="276" w:lineRule="auto"/>
      </w:pPr>
      <w:r>
        <w:t>návrh komunikační strategie FN v</w:t>
      </w:r>
      <w:r w:rsidR="00D07AAC">
        <w:t> </w:t>
      </w:r>
      <w:r>
        <w:t>PRV</w:t>
      </w:r>
      <w:r w:rsidR="00D07AAC">
        <w:t xml:space="preserve"> – směrem k cílovým subjektům i soukromému sektoru pro přilákání soukromého kapitálu</w:t>
      </w:r>
      <w:r w:rsidR="000D31C7">
        <w:t xml:space="preserve"> (harmonogram a aktivity od 1. 12. 2019)</w:t>
      </w:r>
      <w:r w:rsidR="00EF4C6F">
        <w:t>,</w:t>
      </w:r>
    </w:p>
    <w:p w14:paraId="3A919083" w14:textId="516CD121" w:rsidR="0010640F" w:rsidRDefault="0010640F" w:rsidP="002C3683">
      <w:pPr>
        <w:pStyle w:val="Odstavecseseznamem"/>
        <w:numPr>
          <w:ilvl w:val="0"/>
          <w:numId w:val="1"/>
        </w:numPr>
        <w:spacing w:line="276" w:lineRule="auto"/>
      </w:pPr>
      <w:r>
        <w:t>návrh harmonogramu postupného zavádění FN od 1. 12. 2019 (spuštění FN hned od 1. 1. 2021 není nezbytné, pokud z analýz vyplyne jinak)</w:t>
      </w:r>
      <w:r w:rsidR="00EF4C6F">
        <w:t>.</w:t>
      </w:r>
    </w:p>
    <w:p w14:paraId="7D61B266" w14:textId="77777777" w:rsidR="00076145" w:rsidRDefault="00076145" w:rsidP="002C3683">
      <w:pPr>
        <w:spacing w:line="276" w:lineRule="auto"/>
      </w:pPr>
    </w:p>
    <w:p w14:paraId="2805F7D4" w14:textId="77777777" w:rsidR="00076145" w:rsidRDefault="00076145" w:rsidP="00426FCA">
      <w:pPr>
        <w:keepNext/>
        <w:spacing w:line="276" w:lineRule="auto"/>
        <w:rPr>
          <w:b/>
        </w:rPr>
      </w:pPr>
      <w:r w:rsidRPr="00CD06CD">
        <w:rPr>
          <w:b/>
        </w:rPr>
        <w:t>FÁZE</w:t>
      </w:r>
      <w:r w:rsidR="00827A08">
        <w:rPr>
          <w:b/>
        </w:rPr>
        <w:t xml:space="preserve"> </w:t>
      </w:r>
      <w:r w:rsidRPr="00CD06CD">
        <w:rPr>
          <w:b/>
        </w:rPr>
        <w:t>III – aktualizace ex-ante</w:t>
      </w:r>
      <w:r w:rsidR="004D7C70">
        <w:rPr>
          <w:b/>
        </w:rPr>
        <w:t xml:space="preserve"> hodnocení</w:t>
      </w:r>
      <w:r w:rsidR="00FE42D1">
        <w:rPr>
          <w:b/>
        </w:rPr>
        <w:t xml:space="preserve"> a poradenství při implementaci</w:t>
      </w:r>
      <w:r w:rsidRPr="00CD06CD">
        <w:rPr>
          <w:b/>
        </w:rPr>
        <w:t>:</w:t>
      </w:r>
    </w:p>
    <w:p w14:paraId="5F6AD009" w14:textId="5F719AC0" w:rsidR="00B01E60" w:rsidRPr="00341FEE" w:rsidRDefault="00B01E60" w:rsidP="00B01E60">
      <w:pPr>
        <w:keepNext/>
        <w:spacing w:line="276" w:lineRule="auto"/>
        <w:rPr>
          <w:b/>
        </w:rPr>
      </w:pPr>
      <w:r>
        <w:rPr>
          <w:b/>
        </w:rPr>
        <w:t>Tato fáze sestává ze dvou částí s výstupy ve formě aktualizací v letech 2022 a 2024 (resp. 2023 – viz níže) a poradenstvím poskytovaným průběžně do konce roku 2024.</w:t>
      </w:r>
    </w:p>
    <w:p w14:paraId="080154C3" w14:textId="77777777" w:rsidR="002331CD" w:rsidRDefault="0037683D" w:rsidP="002331CD">
      <w:pPr>
        <w:pStyle w:val="Odstavecseseznamem"/>
        <w:numPr>
          <w:ilvl w:val="0"/>
          <w:numId w:val="1"/>
        </w:numPr>
        <w:spacing w:line="276" w:lineRule="auto"/>
      </w:pPr>
      <w:r>
        <w:t xml:space="preserve">spolupráce </w:t>
      </w:r>
      <w:r w:rsidR="002331CD">
        <w:t xml:space="preserve">v průběhu připomínkování ex-ante analýzy Strategického plánu </w:t>
      </w:r>
      <w:r w:rsidR="0085154B">
        <w:t xml:space="preserve">na </w:t>
      </w:r>
      <w:proofErr w:type="spellStart"/>
      <w:r w:rsidR="0085154B">
        <w:t>obd</w:t>
      </w:r>
      <w:proofErr w:type="spellEnd"/>
      <w:r w:rsidR="0085154B">
        <w:t>. 2021-2027</w:t>
      </w:r>
      <w:r>
        <w:t xml:space="preserve"> Evropskou komisí</w:t>
      </w:r>
      <w:r w:rsidR="0085154B">
        <w:t>,</w:t>
      </w:r>
    </w:p>
    <w:p w14:paraId="361D8107" w14:textId="77777777" w:rsidR="002331CD" w:rsidRDefault="002331CD" w:rsidP="002C3683">
      <w:pPr>
        <w:pStyle w:val="Odstavecseseznamem"/>
        <w:numPr>
          <w:ilvl w:val="0"/>
          <w:numId w:val="1"/>
        </w:numPr>
        <w:spacing w:line="276" w:lineRule="auto"/>
      </w:pPr>
      <w:r>
        <w:t xml:space="preserve">poradenství </w:t>
      </w:r>
      <w:r w:rsidR="0085154B">
        <w:t>před spuštěním FN</w:t>
      </w:r>
      <w:r w:rsidR="0037683D">
        <w:t xml:space="preserve"> (příprava, nastavení, komunikace a marketing)</w:t>
      </w:r>
      <w:r w:rsidR="0085154B">
        <w:t>,</w:t>
      </w:r>
    </w:p>
    <w:p w14:paraId="24EBA843" w14:textId="1BA93206" w:rsidR="004D7C70" w:rsidRDefault="0085154B" w:rsidP="004D7C70">
      <w:pPr>
        <w:pStyle w:val="Odstavecseseznamem"/>
        <w:numPr>
          <w:ilvl w:val="0"/>
          <w:numId w:val="1"/>
        </w:numPr>
        <w:spacing w:line="276" w:lineRule="auto"/>
      </w:pPr>
      <w:r>
        <w:t>aktualizaci výstupů fáze I a II v letech 2022 a 2024</w:t>
      </w:r>
      <w:r w:rsidR="00D334B2">
        <w:t xml:space="preserve">, </w:t>
      </w:r>
      <w:r>
        <w:t>v případě významných změn (např</w:t>
      </w:r>
      <w:r w:rsidR="00E82C9A">
        <w:t>.:</w:t>
      </w:r>
      <w:r w:rsidR="00E82C9A" w:rsidRPr="00E82C9A">
        <w:t xml:space="preserve"> </w:t>
      </w:r>
      <w:r w:rsidR="00E82C9A">
        <w:t xml:space="preserve">z důvodů změn v legislativě, změn </w:t>
      </w:r>
      <w:proofErr w:type="spellStart"/>
      <w:r w:rsidR="00E82C9A">
        <w:t>hosp</w:t>
      </w:r>
      <w:proofErr w:type="spellEnd"/>
      <w:r w:rsidR="00E82C9A">
        <w:t>. situace v AGRI sektoru či v národním hospodářství, změn podmínek na trhu apod</w:t>
      </w:r>
      <w:r>
        <w:t>.) či v případě problémů s čerpáním</w:t>
      </w:r>
      <w:r w:rsidR="00D334B2">
        <w:t xml:space="preserve"> </w:t>
      </w:r>
      <w:r>
        <w:t>provede aktualizaci</w:t>
      </w:r>
      <w:r w:rsidR="00D334B2">
        <w:t xml:space="preserve"> na </w:t>
      </w:r>
      <w:r w:rsidR="00577FE4">
        <w:t xml:space="preserve">základě podnětu </w:t>
      </w:r>
      <w:r w:rsidR="00D334B2">
        <w:t>ŘO</w:t>
      </w:r>
      <w:r w:rsidR="004D7C70">
        <w:t xml:space="preserve"> PRV</w:t>
      </w:r>
      <w:r w:rsidR="00703466">
        <w:t xml:space="preserve"> </w:t>
      </w:r>
      <w:r>
        <w:t>i v roce 2023,</w:t>
      </w:r>
      <w:r w:rsidR="004D7C70" w:rsidRPr="004D7C70">
        <w:t xml:space="preserve"> </w:t>
      </w:r>
    </w:p>
    <w:p w14:paraId="7FA2C716" w14:textId="77777777" w:rsidR="000C5112" w:rsidRDefault="0085154B" w:rsidP="000C5112">
      <w:pPr>
        <w:pStyle w:val="Odstavecseseznamem"/>
        <w:numPr>
          <w:ilvl w:val="0"/>
          <w:numId w:val="1"/>
        </w:numPr>
        <w:spacing w:line="276" w:lineRule="auto"/>
      </w:pPr>
      <w:r>
        <w:t xml:space="preserve">průběžně bude poskytováno také </w:t>
      </w:r>
      <w:r w:rsidR="000C5112">
        <w:t>poradenství</w:t>
      </w:r>
      <w:r w:rsidR="00E82C9A">
        <w:t xml:space="preserve"> v oblasti implementace a komunikace (vč.</w:t>
      </w:r>
      <w:r w:rsidR="00FC6E6F">
        <w:t xml:space="preserve"> přípravy podkladů na semináře či propagační akce pro zem. </w:t>
      </w:r>
      <w:proofErr w:type="gramStart"/>
      <w:r w:rsidR="00FC6E6F">
        <w:t>veřejnost</w:t>
      </w:r>
      <w:proofErr w:type="gramEnd"/>
      <w:r w:rsidR="00FC6E6F">
        <w:t>,</w:t>
      </w:r>
      <w:r w:rsidR="00FC6E6F" w:rsidRPr="00FC6E6F">
        <w:t xml:space="preserve"> </w:t>
      </w:r>
      <w:r w:rsidR="00FC6E6F">
        <w:t xml:space="preserve">v ojedinělých případech vč. účasti na nich) </w:t>
      </w:r>
      <w:r w:rsidR="000C5112" w:rsidRPr="000C5112">
        <w:t>a součinnost při jednáních s EK k tématu finančních nástrojů</w:t>
      </w:r>
      <w:r>
        <w:t xml:space="preserve"> v průběhu implementace a to až do konce roku 2024.</w:t>
      </w:r>
    </w:p>
    <w:p w14:paraId="22BC9267" w14:textId="77777777" w:rsidR="00426FCA" w:rsidRDefault="00426FCA" w:rsidP="00426FCA">
      <w:pPr>
        <w:keepNext/>
        <w:spacing w:line="276" w:lineRule="auto"/>
        <w:rPr>
          <w:b/>
        </w:rPr>
      </w:pPr>
    </w:p>
    <w:p w14:paraId="37493330" w14:textId="789CB718" w:rsidR="00426FCA" w:rsidRDefault="00426FCA" w:rsidP="00426FCA">
      <w:pPr>
        <w:keepNext/>
        <w:spacing w:line="276" w:lineRule="auto"/>
        <w:rPr>
          <w:b/>
        </w:rPr>
      </w:pPr>
      <w:r w:rsidRPr="00426FCA">
        <w:rPr>
          <w:b/>
        </w:rPr>
        <w:t>Jed</w:t>
      </w:r>
      <w:r>
        <w:rPr>
          <w:b/>
        </w:rPr>
        <w:t xml:space="preserve">notlivé fáze ex-ante analýzy budou prováděny a </w:t>
      </w:r>
      <w:r w:rsidR="00240DB7">
        <w:rPr>
          <w:b/>
        </w:rPr>
        <w:t>výstupy v českém jazyce</w:t>
      </w:r>
      <w:r>
        <w:rPr>
          <w:b/>
        </w:rPr>
        <w:t xml:space="preserve"> předávány postupně vždy v návaznosti na výstupy předchozí fáze.</w:t>
      </w:r>
    </w:p>
    <w:p w14:paraId="0E3D9401" w14:textId="61B5BE8D" w:rsidR="00D64DB8" w:rsidRDefault="00393A07" w:rsidP="00426FCA">
      <w:pPr>
        <w:keepNext/>
        <w:spacing w:line="276" w:lineRule="auto"/>
        <w:rPr>
          <w:b/>
        </w:rPr>
      </w:pPr>
      <w:r w:rsidRPr="00393A07">
        <w:rPr>
          <w:b/>
        </w:rPr>
        <w:t>Ve všech fázích musí hodnotitel zohledňovat aktuálně platnou legislativu a aktuální podobu Strategického plánu SZP pro období 2021-2027.</w:t>
      </w:r>
    </w:p>
    <w:p w14:paraId="6B639C7D" w14:textId="77777777" w:rsidR="00D64DB8" w:rsidRDefault="00D64DB8" w:rsidP="00426FCA">
      <w:pPr>
        <w:keepNext/>
        <w:spacing w:line="276" w:lineRule="auto"/>
        <w:rPr>
          <w:b/>
        </w:rPr>
      </w:pPr>
    </w:p>
    <w:p w14:paraId="6777551A" w14:textId="77777777" w:rsidR="00D64DB8" w:rsidRDefault="00962588" w:rsidP="003C6D3E">
      <w:pPr>
        <w:pStyle w:val="Nadpis1"/>
      </w:pPr>
      <w:r>
        <w:t>Předpokládaný h</w:t>
      </w:r>
      <w:r w:rsidR="00D64DB8">
        <w:t>armonogram ex-ante analýzy</w:t>
      </w:r>
      <w:bookmarkStart w:id="0" w:name="_GoBack"/>
      <w:bookmarkEnd w:id="0"/>
    </w:p>
    <w:p w14:paraId="6808C3A6" w14:textId="77777777" w:rsidR="00702DA3" w:rsidRDefault="00702DA3" w:rsidP="00426FCA">
      <w:pPr>
        <w:keepNext/>
        <w:spacing w:line="276" w:lineRule="auto"/>
        <w:rPr>
          <w:b/>
        </w:rPr>
      </w:pPr>
    </w:p>
    <w:p w14:paraId="3346A527" w14:textId="6EF56D50" w:rsidR="00702DA3" w:rsidRPr="00AC5CCE" w:rsidRDefault="002647D1" w:rsidP="00426FCA">
      <w:pPr>
        <w:keepNext/>
        <w:spacing w:line="276" w:lineRule="auto"/>
      </w:pPr>
      <w:r>
        <w:t>Úvodní schůzka kvůli v</w:t>
      </w:r>
      <w:r w:rsidR="00702DA3" w:rsidRPr="00AC5CCE">
        <w:t xml:space="preserve">yjasnění zadání analýzy mezi zadavatelem a zhotovitelem </w:t>
      </w:r>
      <w:r w:rsidR="00C11DC0">
        <w:t>do jednoho měsíce od nabytí účinnosti</w:t>
      </w:r>
      <w:r>
        <w:t xml:space="preserve"> smlouvy</w:t>
      </w:r>
      <w:r w:rsidR="00702DA3" w:rsidRPr="00AC5CCE">
        <w:t>.</w:t>
      </w:r>
    </w:p>
    <w:p w14:paraId="383A8796" w14:textId="344AC16E" w:rsidR="00DF4E7C" w:rsidRDefault="007F2359" w:rsidP="00426FCA">
      <w:pPr>
        <w:keepNext/>
        <w:spacing w:line="276" w:lineRule="auto"/>
      </w:pPr>
      <w:r>
        <w:t>Zaslání</w:t>
      </w:r>
      <w:r w:rsidR="00DF4E7C">
        <w:t xml:space="preserve"> vstupní zprávy s upřesněním postupu prací </w:t>
      </w:r>
      <w:r w:rsidR="002647D1">
        <w:t xml:space="preserve">ve fázi I a II </w:t>
      </w:r>
      <w:r w:rsidR="00DF4E7C">
        <w:t xml:space="preserve">vč. forem průzkumu </w:t>
      </w:r>
      <w:r w:rsidR="00AC5CCE">
        <w:t>(d</w:t>
      </w:r>
      <w:r w:rsidR="00AC5CCE" w:rsidRPr="00AC5CCE">
        <w:t>otazníkov</w:t>
      </w:r>
      <w:r w:rsidR="00AC5CCE">
        <w:t>á</w:t>
      </w:r>
      <w:r w:rsidR="00AC5CCE" w:rsidRPr="00AC5CCE">
        <w:t xml:space="preserve"> šetření</w:t>
      </w:r>
      <w:r w:rsidR="00AC5CCE">
        <w:t xml:space="preserve"> </w:t>
      </w:r>
      <w:r w:rsidR="00AC5CCE" w:rsidRPr="00AC5CCE">
        <w:t>/</w:t>
      </w:r>
      <w:r w:rsidR="00AC5CCE">
        <w:t xml:space="preserve"> </w:t>
      </w:r>
      <w:r w:rsidR="00AC5CCE" w:rsidRPr="00AC5CCE">
        <w:t>hloubkové rozhovory</w:t>
      </w:r>
      <w:r w:rsidR="00AC5CCE">
        <w:t xml:space="preserve"> </w:t>
      </w:r>
      <w:r w:rsidR="00AC5CCE" w:rsidRPr="00AC5CCE">
        <w:t>/</w:t>
      </w:r>
      <w:r w:rsidR="00AC5CCE">
        <w:t xml:space="preserve"> </w:t>
      </w:r>
      <w:proofErr w:type="spellStart"/>
      <w:r w:rsidR="00AC5CCE" w:rsidRPr="00AC5CCE">
        <w:t>fokusní</w:t>
      </w:r>
      <w:proofErr w:type="spellEnd"/>
      <w:r w:rsidR="00AC5CCE" w:rsidRPr="00AC5CCE">
        <w:t xml:space="preserve"> skupiny</w:t>
      </w:r>
      <w:r w:rsidR="00AC5CCE">
        <w:t xml:space="preserve"> apod.)</w:t>
      </w:r>
      <w:r w:rsidR="00AC5CCE" w:rsidRPr="00AC5CCE">
        <w:t xml:space="preserve"> </w:t>
      </w:r>
      <w:r w:rsidR="00DF4E7C">
        <w:t xml:space="preserve">mezi potenciálními konečnými příjemci a potenciálními spolupracujícími bankami </w:t>
      </w:r>
      <w:r w:rsidR="002647D1">
        <w:t xml:space="preserve">do jednoho měsíce od </w:t>
      </w:r>
      <w:r w:rsidR="00341FEE">
        <w:t>nabytí účinnosti smlouvy</w:t>
      </w:r>
      <w:r w:rsidR="00DF4E7C">
        <w:t>.</w:t>
      </w:r>
    </w:p>
    <w:p w14:paraId="387044BC" w14:textId="50DD168A" w:rsidR="00EB0D7D" w:rsidRDefault="00D64DB8" w:rsidP="00426FCA">
      <w:pPr>
        <w:keepNext/>
        <w:spacing w:line="276" w:lineRule="auto"/>
      </w:pPr>
      <w:r w:rsidRPr="00AC5CCE">
        <w:t xml:space="preserve">Provedení a </w:t>
      </w:r>
      <w:r w:rsidR="00C526BA">
        <w:t>zaslání výstupů jednotlivých</w:t>
      </w:r>
      <w:r w:rsidR="00C526BA" w:rsidRPr="00AC5CCE">
        <w:t xml:space="preserve"> </w:t>
      </w:r>
      <w:r w:rsidRPr="00AC5CCE">
        <w:t>fází by mělo proběhnout</w:t>
      </w:r>
      <w:r w:rsidR="00EB0D7D" w:rsidRPr="00AC5CCE">
        <w:t xml:space="preserve"> </w:t>
      </w:r>
      <w:r w:rsidR="00C526BA">
        <w:t>dle následujícího harmonogramu</w:t>
      </w:r>
      <w:r w:rsidR="00240DB7">
        <w:t xml:space="preserve">: </w:t>
      </w:r>
    </w:p>
    <w:p w14:paraId="5637C67E" w14:textId="77777777" w:rsidR="00C526BA" w:rsidRDefault="00C526BA" w:rsidP="00426FCA">
      <w:pPr>
        <w:keepNext/>
        <w:spacing w:line="276" w:lineRule="auto"/>
        <w:sectPr w:rsidR="00C526BA" w:rsidSect="00C526BA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45143A9" w14:textId="1BCCC4EA" w:rsidR="00341FEE" w:rsidRDefault="00992C8E" w:rsidP="00A3730E">
      <w:r>
        <w:rPr>
          <w:noProof/>
          <w:lang w:eastAsia="cs-CZ"/>
        </w:rPr>
        <w:lastRenderedPageBreak/>
        <w:drawing>
          <wp:inline distT="0" distB="0" distL="0" distR="0" wp14:anchorId="0F5BDAF0" wp14:editId="27BA30AA">
            <wp:extent cx="9191625" cy="546196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643" cy="54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65650" w14:textId="70E544D7" w:rsidR="00992C8E" w:rsidRDefault="00992C8E" w:rsidP="00A3730E">
      <w:pPr>
        <w:sectPr w:rsidR="00992C8E" w:rsidSect="00341FE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 xml:space="preserve"> </w:t>
      </w:r>
    </w:p>
    <w:p w14:paraId="099DCF0F" w14:textId="77777777" w:rsidR="00AC5CCE" w:rsidRDefault="00AC5CCE" w:rsidP="003C6D3E">
      <w:pPr>
        <w:pStyle w:val="Nadpis1"/>
      </w:pPr>
      <w:r>
        <w:lastRenderedPageBreak/>
        <w:t>Zdroje</w:t>
      </w:r>
      <w:r w:rsidR="005F668E">
        <w:t xml:space="preserve"> a podklady pro hodnocení</w:t>
      </w:r>
    </w:p>
    <w:p w14:paraId="061D3A76" w14:textId="77777777" w:rsidR="00AC5CCE" w:rsidRDefault="00AC5CCE" w:rsidP="00426FCA">
      <w:pPr>
        <w:keepNext/>
        <w:spacing w:line="276" w:lineRule="auto"/>
      </w:pPr>
      <w:r>
        <w:t xml:space="preserve">Analýzy ÚZEI, které je možné využít. </w:t>
      </w:r>
      <w:r w:rsidR="0085245A">
        <w:object w:dxaOrig="1531" w:dyaOrig="990" w14:anchorId="3FD2F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DC" ShapeID="_x0000_i1025" DrawAspect="Icon" ObjectID="_1613287893" r:id="rId11"/>
        </w:object>
      </w:r>
      <w:r w:rsidR="00C076A6">
        <w:t>(pouze obsah a úvod zmiňované analýzy, plné znění bude předáno vítěznému dodavateli)</w:t>
      </w:r>
    </w:p>
    <w:p w14:paraId="2A586356" w14:textId="0EC3D0A9" w:rsidR="00963BC4" w:rsidRDefault="00963BC4" w:rsidP="00426FCA">
      <w:pPr>
        <w:keepNext/>
        <w:spacing w:line="276" w:lineRule="auto"/>
      </w:pPr>
      <w:r>
        <w:t xml:space="preserve">Analýza </w:t>
      </w:r>
      <w:r w:rsidRPr="00963BC4">
        <w:t>vyhodnocení možností využití finančních nástrojů v dalším programovém období 2020+</w:t>
      </w:r>
      <w:r>
        <w:t xml:space="preserve"> realizovaná pro MMR v 2018/19</w:t>
      </w:r>
      <w:r w:rsidR="00EF4C6F">
        <w:t xml:space="preserve"> společností </w:t>
      </w:r>
      <w:proofErr w:type="spellStart"/>
      <w:r w:rsidR="00EF4C6F">
        <w:t>Deloitte</w:t>
      </w:r>
      <w:proofErr w:type="spellEnd"/>
    </w:p>
    <w:p w14:paraId="1BE7A300" w14:textId="77777777" w:rsidR="003C6D3E" w:rsidRDefault="003C6D3E" w:rsidP="00426FCA">
      <w:pPr>
        <w:keepNext/>
        <w:spacing w:line="276" w:lineRule="auto"/>
      </w:pPr>
      <w:r>
        <w:t xml:space="preserve">web </w:t>
      </w:r>
      <w:hyperlink r:id="rId12" w:history="1">
        <w:proofErr w:type="spellStart"/>
        <w:r w:rsidRPr="003C6D3E">
          <w:rPr>
            <w:rStyle w:val="Hypertextovodkaz"/>
          </w:rPr>
          <w:t>Fi-compass</w:t>
        </w:r>
        <w:proofErr w:type="spellEnd"/>
      </w:hyperlink>
      <w:r w:rsidRPr="00AC5CCE">
        <w:t xml:space="preserve"> </w:t>
      </w:r>
    </w:p>
    <w:p w14:paraId="2064F8CA" w14:textId="77777777" w:rsidR="00A053F6" w:rsidRDefault="00A053F6" w:rsidP="00426FCA">
      <w:pPr>
        <w:keepNext/>
        <w:spacing w:line="276" w:lineRule="auto"/>
      </w:pPr>
      <w:r>
        <w:t xml:space="preserve">Návrhy nařízení: </w:t>
      </w:r>
      <w:hyperlink r:id="rId13" w:history="1">
        <w:r w:rsidRPr="00E526FB">
          <w:rPr>
            <w:rStyle w:val="Hypertextovodkaz"/>
          </w:rPr>
          <w:t>https://eur-lex.europa.eu/legal-content/EN/TXT/?uri=COM%3A2018%3A392%3AFIN</w:t>
        </w:r>
      </w:hyperlink>
    </w:p>
    <w:p w14:paraId="5CA9234A" w14:textId="77777777" w:rsidR="00A053F6" w:rsidRDefault="0091676F" w:rsidP="00426FCA">
      <w:pPr>
        <w:keepNext/>
        <w:spacing w:line="276" w:lineRule="auto"/>
      </w:pPr>
      <w:hyperlink r:id="rId14" w:history="1">
        <w:r w:rsidR="00A053F6" w:rsidRPr="00E526FB">
          <w:rPr>
            <w:rStyle w:val="Hypertextovodkaz"/>
          </w:rPr>
          <w:t>http://www.s-f.cz/getmedia/904d90ef-915c-4bc2-972c-52f8f9126928/narizeni-verze-ofic.pdf.aspx?ext=.pdf</w:t>
        </w:r>
      </w:hyperlink>
    </w:p>
    <w:p w14:paraId="5FBBB9C7" w14:textId="77777777" w:rsidR="00FE09AC" w:rsidRPr="00AC5CCE" w:rsidRDefault="00FE09AC" w:rsidP="00426FCA">
      <w:pPr>
        <w:keepNext/>
        <w:spacing w:line="276" w:lineRule="auto"/>
      </w:pPr>
    </w:p>
    <w:sectPr w:rsidR="00FE09AC" w:rsidRPr="00AC5CCE" w:rsidSect="00341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6C5F5A" w16cid:durableId="1EBF6CEE"/>
  <w16cid:commentId w16cid:paraId="1E5990D2" w16cid:durableId="1EC21B2F"/>
  <w16cid:commentId w16cid:paraId="2C8AA49D" w16cid:durableId="1EBF6D2B"/>
  <w16cid:commentId w16cid:paraId="35C88723" w16cid:durableId="1EC37B67"/>
  <w16cid:commentId w16cid:paraId="5DD9EE21" w16cid:durableId="1EBF6DFC"/>
  <w16cid:commentId w16cid:paraId="0C9152B1" w16cid:durableId="1EBF6DAA"/>
  <w16cid:commentId w16cid:paraId="6FBB4FA1" w16cid:durableId="1EC36F42"/>
  <w16cid:commentId w16cid:paraId="3E1DF697" w16cid:durableId="1EBF6E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7C5C" w14:textId="77777777" w:rsidR="005B3A5B" w:rsidRDefault="005B3A5B" w:rsidP="006B3B1F">
      <w:pPr>
        <w:spacing w:after="0" w:line="240" w:lineRule="auto"/>
      </w:pPr>
      <w:r>
        <w:separator/>
      </w:r>
    </w:p>
  </w:endnote>
  <w:endnote w:type="continuationSeparator" w:id="0">
    <w:p w14:paraId="5B4667C5" w14:textId="77777777" w:rsidR="005B3A5B" w:rsidRDefault="005B3A5B" w:rsidP="006B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974480"/>
      <w:docPartObj>
        <w:docPartGallery w:val="Page Numbers (Bottom of Page)"/>
        <w:docPartUnique/>
      </w:docPartObj>
    </w:sdtPr>
    <w:sdtEndPr/>
    <w:sdtContent>
      <w:p w14:paraId="1ED26E9F" w14:textId="77777777" w:rsidR="00962588" w:rsidRDefault="009625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6F">
          <w:rPr>
            <w:noProof/>
          </w:rPr>
          <w:t>1</w:t>
        </w:r>
        <w:r>
          <w:fldChar w:fldCharType="end"/>
        </w:r>
      </w:p>
    </w:sdtContent>
  </w:sdt>
  <w:p w14:paraId="09EA8496" w14:textId="77777777" w:rsidR="00962588" w:rsidRDefault="00962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3430" w14:textId="77777777" w:rsidR="005B3A5B" w:rsidRDefault="005B3A5B" w:rsidP="006B3B1F">
      <w:pPr>
        <w:spacing w:after="0" w:line="240" w:lineRule="auto"/>
      </w:pPr>
      <w:r>
        <w:separator/>
      </w:r>
    </w:p>
  </w:footnote>
  <w:footnote w:type="continuationSeparator" w:id="0">
    <w:p w14:paraId="7DC49BAA" w14:textId="77777777" w:rsidR="005B3A5B" w:rsidRDefault="005B3A5B" w:rsidP="006B3B1F">
      <w:pPr>
        <w:spacing w:after="0" w:line="240" w:lineRule="auto"/>
      </w:pPr>
      <w:r>
        <w:continuationSeparator/>
      </w:r>
    </w:p>
  </w:footnote>
  <w:footnote w:id="1">
    <w:p w14:paraId="121709AA" w14:textId="77777777" w:rsidR="009C0C40" w:rsidRDefault="009C0C40" w:rsidP="009C0C40">
      <w:pPr>
        <w:pStyle w:val="Textpoznpodarou"/>
      </w:pPr>
      <w:r>
        <w:rPr>
          <w:rStyle w:val="Znakapoznpodarou"/>
        </w:rPr>
        <w:footnoteRef/>
      </w:r>
      <w:r>
        <w:t xml:space="preserve"> Zahrnuje sektor zemědělství, lesnictví a potravinářství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7F0"/>
    <w:multiLevelType w:val="hybridMultilevel"/>
    <w:tmpl w:val="A5B83530"/>
    <w:lvl w:ilvl="0" w:tplc="066CD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0B0"/>
    <w:multiLevelType w:val="hybridMultilevel"/>
    <w:tmpl w:val="B7780E8A"/>
    <w:lvl w:ilvl="0" w:tplc="0DE67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A0F"/>
    <w:multiLevelType w:val="hybridMultilevel"/>
    <w:tmpl w:val="68F2932C"/>
    <w:lvl w:ilvl="0" w:tplc="2B907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EB"/>
    <w:rsid w:val="00010AFD"/>
    <w:rsid w:val="000258C2"/>
    <w:rsid w:val="00040652"/>
    <w:rsid w:val="00047ABD"/>
    <w:rsid w:val="000529B6"/>
    <w:rsid w:val="00076145"/>
    <w:rsid w:val="000A28B5"/>
    <w:rsid w:val="000C5112"/>
    <w:rsid w:val="000D31C7"/>
    <w:rsid w:val="000E6210"/>
    <w:rsid w:val="000E7C10"/>
    <w:rsid w:val="00100E75"/>
    <w:rsid w:val="0010640F"/>
    <w:rsid w:val="00120E52"/>
    <w:rsid w:val="00125765"/>
    <w:rsid w:val="00141D77"/>
    <w:rsid w:val="00144BD4"/>
    <w:rsid w:val="001C20EF"/>
    <w:rsid w:val="001F015E"/>
    <w:rsid w:val="00230F54"/>
    <w:rsid w:val="002331CD"/>
    <w:rsid w:val="00240DB7"/>
    <w:rsid w:val="002647D1"/>
    <w:rsid w:val="00265CF7"/>
    <w:rsid w:val="002C3683"/>
    <w:rsid w:val="002E194D"/>
    <w:rsid w:val="002E75BA"/>
    <w:rsid w:val="003016F9"/>
    <w:rsid w:val="0031113F"/>
    <w:rsid w:val="003140A6"/>
    <w:rsid w:val="00341FEE"/>
    <w:rsid w:val="0037683D"/>
    <w:rsid w:val="00393A07"/>
    <w:rsid w:val="003C6D3E"/>
    <w:rsid w:val="003C7AD7"/>
    <w:rsid w:val="003C7E83"/>
    <w:rsid w:val="0041215B"/>
    <w:rsid w:val="00426FCA"/>
    <w:rsid w:val="0046491E"/>
    <w:rsid w:val="0048786B"/>
    <w:rsid w:val="00497B6B"/>
    <w:rsid w:val="004D7C70"/>
    <w:rsid w:val="004F162D"/>
    <w:rsid w:val="0051218F"/>
    <w:rsid w:val="00526D0B"/>
    <w:rsid w:val="00543EA3"/>
    <w:rsid w:val="00577FE4"/>
    <w:rsid w:val="00583D0B"/>
    <w:rsid w:val="005A29EA"/>
    <w:rsid w:val="005A3F82"/>
    <w:rsid w:val="005B3A5B"/>
    <w:rsid w:val="005E53CC"/>
    <w:rsid w:val="005F2B8D"/>
    <w:rsid w:val="005F668E"/>
    <w:rsid w:val="006266C5"/>
    <w:rsid w:val="00635D42"/>
    <w:rsid w:val="00666470"/>
    <w:rsid w:val="006706E6"/>
    <w:rsid w:val="00681D6D"/>
    <w:rsid w:val="0069457D"/>
    <w:rsid w:val="006B3B1F"/>
    <w:rsid w:val="006C1F2C"/>
    <w:rsid w:val="006D64DB"/>
    <w:rsid w:val="00702DA3"/>
    <w:rsid w:val="00703466"/>
    <w:rsid w:val="00704EFB"/>
    <w:rsid w:val="00726AD5"/>
    <w:rsid w:val="00741BBE"/>
    <w:rsid w:val="00752D9A"/>
    <w:rsid w:val="007866E8"/>
    <w:rsid w:val="007F2359"/>
    <w:rsid w:val="007F51C2"/>
    <w:rsid w:val="00812E65"/>
    <w:rsid w:val="00827A08"/>
    <w:rsid w:val="00830B47"/>
    <w:rsid w:val="0085154B"/>
    <w:rsid w:val="00852244"/>
    <w:rsid w:val="0085245A"/>
    <w:rsid w:val="0086504E"/>
    <w:rsid w:val="00870430"/>
    <w:rsid w:val="008A48A1"/>
    <w:rsid w:val="008A4EF2"/>
    <w:rsid w:val="008A5233"/>
    <w:rsid w:val="008D4014"/>
    <w:rsid w:val="008E2B2C"/>
    <w:rsid w:val="00905455"/>
    <w:rsid w:val="00905694"/>
    <w:rsid w:val="0091676F"/>
    <w:rsid w:val="00930652"/>
    <w:rsid w:val="00962588"/>
    <w:rsid w:val="00963BC4"/>
    <w:rsid w:val="00972EB4"/>
    <w:rsid w:val="009763EB"/>
    <w:rsid w:val="00992C8E"/>
    <w:rsid w:val="009B083A"/>
    <w:rsid w:val="009C0C40"/>
    <w:rsid w:val="009D4D40"/>
    <w:rsid w:val="00A053F6"/>
    <w:rsid w:val="00A258C0"/>
    <w:rsid w:val="00A3730E"/>
    <w:rsid w:val="00A65320"/>
    <w:rsid w:val="00A77430"/>
    <w:rsid w:val="00AA6E38"/>
    <w:rsid w:val="00AC5CCE"/>
    <w:rsid w:val="00AE3A2F"/>
    <w:rsid w:val="00B007EC"/>
    <w:rsid w:val="00B01E60"/>
    <w:rsid w:val="00B06DFA"/>
    <w:rsid w:val="00B47253"/>
    <w:rsid w:val="00BA07D4"/>
    <w:rsid w:val="00BE51EC"/>
    <w:rsid w:val="00C03FB4"/>
    <w:rsid w:val="00C076A6"/>
    <w:rsid w:val="00C11DC0"/>
    <w:rsid w:val="00C451E6"/>
    <w:rsid w:val="00C526BA"/>
    <w:rsid w:val="00C71550"/>
    <w:rsid w:val="00C73494"/>
    <w:rsid w:val="00CB265F"/>
    <w:rsid w:val="00CD06CD"/>
    <w:rsid w:val="00D0771A"/>
    <w:rsid w:val="00D07AAC"/>
    <w:rsid w:val="00D1634D"/>
    <w:rsid w:val="00D334B2"/>
    <w:rsid w:val="00D64DB8"/>
    <w:rsid w:val="00DA29B0"/>
    <w:rsid w:val="00DB526D"/>
    <w:rsid w:val="00DC1573"/>
    <w:rsid w:val="00DC440E"/>
    <w:rsid w:val="00DF4E7C"/>
    <w:rsid w:val="00E177BC"/>
    <w:rsid w:val="00E256FB"/>
    <w:rsid w:val="00E35E5E"/>
    <w:rsid w:val="00E56D33"/>
    <w:rsid w:val="00E712C1"/>
    <w:rsid w:val="00E76829"/>
    <w:rsid w:val="00E82C9A"/>
    <w:rsid w:val="00E87EFE"/>
    <w:rsid w:val="00EB0D7D"/>
    <w:rsid w:val="00EE2BE7"/>
    <w:rsid w:val="00EE4A33"/>
    <w:rsid w:val="00EF4C6F"/>
    <w:rsid w:val="00F04B57"/>
    <w:rsid w:val="00F119DC"/>
    <w:rsid w:val="00F3110A"/>
    <w:rsid w:val="00F56DD2"/>
    <w:rsid w:val="00F65AC6"/>
    <w:rsid w:val="00F67A6B"/>
    <w:rsid w:val="00F81E54"/>
    <w:rsid w:val="00FC571B"/>
    <w:rsid w:val="00FC6E6F"/>
    <w:rsid w:val="00FE09AC"/>
    <w:rsid w:val="00FE165B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1D6256"/>
  <w15:docId w15:val="{013E69EA-AE33-4BE0-B65D-86F2900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02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3E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06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06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06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E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3B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3B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3B1F"/>
    <w:rPr>
      <w:vertAlign w:val="superscript"/>
    </w:rPr>
  </w:style>
  <w:style w:type="paragraph" w:styleId="Revize">
    <w:name w:val="Revision"/>
    <w:hidden/>
    <w:uiPriority w:val="99"/>
    <w:semiHidden/>
    <w:rsid w:val="00D077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26F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02D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C6D3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6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588"/>
  </w:style>
  <w:style w:type="paragraph" w:styleId="Zpat">
    <w:name w:val="footer"/>
    <w:basedOn w:val="Normln"/>
    <w:link w:val="ZpatChar"/>
    <w:uiPriority w:val="99"/>
    <w:unhideWhenUsed/>
    <w:rsid w:val="0096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ur-lex.europa.eu/legal-content/EN/TXT/?uri=COM%3A2018%3A392%3AF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-compass.eu/resources/product?keys=&amp;field_workstream_tid=47&amp;field_content_country_tid=All&amp;sort_by=created&amp;sort_order=DESC&amp;=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s-f.cz/getmedia/904d90ef-915c-4bc2-972c-52f8f9126928/narizeni-verze-ofic.pdf.aspx?ext=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F2B6-1F15-478F-8DC6-1364971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Šindelář Zdeněk</dc:creator>
  <cp:lastModifiedBy>Šindelář Zdeněk</cp:lastModifiedBy>
  <cp:revision>4</cp:revision>
  <cp:lastPrinted>2018-06-29T10:58:00Z</cp:lastPrinted>
  <dcterms:created xsi:type="dcterms:W3CDTF">2019-01-23T14:04:00Z</dcterms:created>
  <dcterms:modified xsi:type="dcterms:W3CDTF">2019-03-05T09:45:00Z</dcterms:modified>
</cp:coreProperties>
</file>