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BC5165">
        <w:rPr>
          <w:rFonts w:ascii="Arial" w:hAnsi="Arial" w:cs="Arial"/>
          <w:b/>
          <w:sz w:val="22"/>
          <w:szCs w:val="22"/>
          <w:highlight w:val="yellow"/>
        </w:rPr>
        <w:t>20</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BC5165">
        <w:rPr>
          <w:rFonts w:ascii="Arial" w:hAnsi="Arial" w:cs="Arial"/>
          <w:b/>
          <w:sz w:val="22"/>
          <w:szCs w:val="22"/>
          <w:highlight w:val="yellow"/>
        </w:rPr>
        <w:t>20</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BC5165" w:rsidRPr="00BC5165" w:rsidRDefault="00BC5165" w:rsidP="00BC5165">
      <w:pPr>
        <w:jc w:val="center"/>
        <w:rPr>
          <w:rFonts w:ascii="Arial" w:hAnsi="Arial" w:cs="Arial"/>
          <w:szCs w:val="22"/>
        </w:rPr>
      </w:pPr>
      <w:r w:rsidRPr="00BC5165">
        <w:rPr>
          <w:rFonts w:ascii="Arial" w:hAnsi="Arial" w:cs="Arial"/>
          <w:b/>
          <w:bCs/>
          <w:color w:val="000000"/>
          <w:szCs w:val="22"/>
        </w:rPr>
        <w:t xml:space="preserve">VD Fláje – zdvihací zařízení o nosnosti 15 t pro </w:t>
      </w:r>
      <w:proofErr w:type="spellStart"/>
      <w:r w:rsidRPr="00BC5165">
        <w:rPr>
          <w:rFonts w:ascii="Arial" w:hAnsi="Arial" w:cs="Arial"/>
          <w:b/>
          <w:bCs/>
          <w:color w:val="000000"/>
          <w:szCs w:val="22"/>
        </w:rPr>
        <w:t>meziúrovňový</w:t>
      </w:r>
      <w:proofErr w:type="spellEnd"/>
      <w:r w:rsidRPr="00BC5165">
        <w:rPr>
          <w:rFonts w:ascii="Arial" w:hAnsi="Arial" w:cs="Arial"/>
          <w:b/>
          <w:bCs/>
          <w:color w:val="000000"/>
          <w:szCs w:val="22"/>
        </w:rPr>
        <w:t xml:space="preserve"> transport břemen, kolejový svršek a manipulační vozík</w:t>
      </w:r>
    </w:p>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00470A5B">
        <w:rPr>
          <w:rFonts w:ascii="Arial" w:hAnsi="Arial" w:cs="Arial"/>
          <w:sz w:val="22"/>
          <w:szCs w:val="22"/>
        </w:rPr>
        <w:t>Zbyňkem Folkem</w:t>
      </w:r>
      <w:r w:rsidRPr="00D74A50">
        <w:rPr>
          <w:rFonts w:ascii="Arial" w:hAnsi="Arial" w:cs="Arial"/>
          <w:sz w:val="22"/>
          <w:szCs w:val="22"/>
        </w:rPr>
        <w:t xml:space="preserve">,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0F7B4B" w:rsidRPr="00BC5165" w:rsidRDefault="00D35FAE" w:rsidP="000F7B4B">
      <w:pPr>
        <w:tabs>
          <w:tab w:val="left" w:pos="3960"/>
        </w:tabs>
        <w:jc w:val="both"/>
        <w:rPr>
          <w:rFonts w:ascii="Arial" w:hAnsi="Arial" w:cs="Arial"/>
          <w:sz w:val="22"/>
          <w:szCs w:val="22"/>
        </w:rPr>
      </w:pPr>
      <w:r w:rsidRPr="00BC5165">
        <w:rPr>
          <w:rFonts w:ascii="Arial" w:hAnsi="Arial" w:cs="Arial"/>
          <w:b/>
          <w:sz w:val="22"/>
          <w:szCs w:val="22"/>
        </w:rPr>
        <w:t>technický dozor investora:</w:t>
      </w:r>
      <w:r w:rsidRPr="00BC5165">
        <w:rPr>
          <w:rFonts w:ascii="Arial" w:hAnsi="Arial" w:cs="Arial"/>
          <w:b/>
          <w:sz w:val="22"/>
          <w:szCs w:val="22"/>
        </w:rPr>
        <w:tab/>
      </w:r>
      <w:r w:rsidR="00BC5165" w:rsidRPr="00BC5165">
        <w:rPr>
          <w:rFonts w:ascii="Arial" w:hAnsi="Arial" w:cs="Arial"/>
          <w:sz w:val="22"/>
          <w:szCs w:val="22"/>
        </w:rPr>
        <w:t xml:space="preserve">Pavel </w:t>
      </w:r>
      <w:proofErr w:type="spellStart"/>
      <w:r w:rsidR="00BC5165" w:rsidRPr="00BC5165">
        <w:rPr>
          <w:rFonts w:ascii="Arial" w:hAnsi="Arial" w:cs="Arial"/>
          <w:sz w:val="22"/>
          <w:szCs w:val="22"/>
        </w:rPr>
        <w:t>Marks</w:t>
      </w:r>
      <w:proofErr w:type="spellEnd"/>
    </w:p>
    <w:p w:rsidR="00981D3D" w:rsidRPr="00D74A50" w:rsidRDefault="000F7B4B" w:rsidP="000F7B4B">
      <w:pPr>
        <w:tabs>
          <w:tab w:val="left" w:pos="3960"/>
        </w:tabs>
        <w:jc w:val="both"/>
        <w:rPr>
          <w:rFonts w:ascii="Arial" w:hAnsi="Arial" w:cs="Arial"/>
          <w:sz w:val="22"/>
          <w:szCs w:val="22"/>
        </w:rPr>
      </w:pPr>
      <w:r w:rsidRPr="00BC5165">
        <w:rPr>
          <w:rFonts w:ascii="Arial" w:hAnsi="Arial" w:cs="Arial"/>
          <w:sz w:val="22"/>
          <w:szCs w:val="22"/>
        </w:rPr>
        <w:tab/>
        <w:t xml:space="preserve">tel: </w:t>
      </w:r>
      <w:r w:rsidR="00BC5165" w:rsidRPr="00BC5165">
        <w:rPr>
          <w:rFonts w:ascii="Arial" w:hAnsi="Arial" w:cs="Arial"/>
          <w:sz w:val="22"/>
          <w:szCs w:val="22"/>
        </w:rPr>
        <w:t>734 245 421</w:t>
      </w:r>
      <w:r w:rsidRPr="00BC5165">
        <w:rPr>
          <w:rFonts w:ascii="Arial" w:hAnsi="Arial" w:cs="Arial"/>
          <w:sz w:val="22"/>
          <w:szCs w:val="22"/>
        </w:rPr>
        <w:t xml:space="preserve">, e-mail: </w:t>
      </w:r>
      <w:r w:rsidR="00BC5165" w:rsidRPr="00BC5165">
        <w:rPr>
          <w:rFonts w:ascii="Arial" w:hAnsi="Arial" w:cs="Arial"/>
          <w:sz w:val="22"/>
          <w:szCs w:val="22"/>
        </w:rPr>
        <w:t>marks</w:t>
      </w:r>
      <w:r w:rsidRPr="00BC5165">
        <w:rPr>
          <w:rFonts w:ascii="Arial" w:hAnsi="Arial" w:cs="Arial"/>
          <w:sz w:val="22"/>
          <w:szCs w:val="22"/>
        </w:rPr>
        <w:t>@poh.cz</w:t>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 xml:space="preserve">tel.     </w:t>
      </w:r>
      <w:proofErr w:type="gramStart"/>
      <w:r w:rsidRPr="00386410">
        <w:rPr>
          <w:rFonts w:ascii="Arial" w:hAnsi="Arial" w:cs="Arial"/>
          <w:sz w:val="22"/>
          <w:szCs w:val="22"/>
        </w:rPr>
        <w:t xml:space="preserve">  ,</w:t>
      </w:r>
      <w:proofErr w:type="gramEnd"/>
      <w:r w:rsidRPr="00386410">
        <w:rPr>
          <w:rFonts w:ascii="Arial" w:hAnsi="Arial" w:cs="Arial"/>
          <w:sz w:val="22"/>
          <w:szCs w:val="22"/>
        </w:rPr>
        <w:t xml:space="preserve"> </w:t>
      </w:r>
      <w:r w:rsidRPr="00386410">
        <w:rPr>
          <w:rFonts w:ascii="Arial" w:hAnsi="Arial" w:cs="Arial"/>
          <w:bCs/>
          <w:color w:val="000000"/>
          <w:sz w:val="22"/>
          <w:szCs w:val="22"/>
        </w:rPr>
        <w:t xml:space="preserve">e-mail: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pod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BC5165" w:rsidRPr="00BC5165" w:rsidRDefault="00BC5165" w:rsidP="00BC5165">
      <w:pPr>
        <w:rPr>
          <w:rFonts w:ascii="Arial" w:hAnsi="Arial" w:cs="Arial"/>
          <w:sz w:val="22"/>
          <w:szCs w:val="22"/>
        </w:rPr>
      </w:pPr>
      <w:r w:rsidRPr="00BC5165">
        <w:rPr>
          <w:rFonts w:ascii="Arial" w:hAnsi="Arial" w:cs="Arial"/>
          <w:b/>
          <w:bCs/>
          <w:color w:val="000000"/>
          <w:sz w:val="22"/>
          <w:szCs w:val="22"/>
        </w:rPr>
        <w:t xml:space="preserve">VD Fláje – zdvihací zařízení o nosnosti 15 t pro </w:t>
      </w:r>
      <w:proofErr w:type="spellStart"/>
      <w:r w:rsidRPr="00BC5165">
        <w:rPr>
          <w:rFonts w:ascii="Arial" w:hAnsi="Arial" w:cs="Arial"/>
          <w:b/>
          <w:bCs/>
          <w:color w:val="000000"/>
          <w:sz w:val="22"/>
          <w:szCs w:val="22"/>
        </w:rPr>
        <w:t>meziúrovňový</w:t>
      </w:r>
      <w:proofErr w:type="spellEnd"/>
      <w:r w:rsidRPr="00BC5165">
        <w:rPr>
          <w:rFonts w:ascii="Arial" w:hAnsi="Arial" w:cs="Arial"/>
          <w:b/>
          <w:bCs/>
          <w:color w:val="000000"/>
          <w:sz w:val="22"/>
          <w:szCs w:val="22"/>
        </w:rPr>
        <w:t xml:space="preserve"> transport břemen, kolejový svršek a manipulační vozík</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w:t>
      </w:r>
      <w:r w:rsidRPr="009A3FBD">
        <w:rPr>
          <w:rFonts w:ascii="Arial" w:hAnsi="Arial" w:cs="Arial"/>
          <w:snapToGrid w:val="0"/>
          <w:sz w:val="22"/>
          <w:szCs w:val="22"/>
        </w:rPr>
        <w:lastRenderedPageBreak/>
        <w:t xml:space="preserve">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E82959" w:rsidRPr="00E82959"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 xml:space="preserve">nejpozději </w:t>
      </w:r>
      <w:r w:rsidRPr="001B44E2">
        <w:rPr>
          <w:rFonts w:ascii="Arial" w:hAnsi="Arial" w:cs="Arial"/>
          <w:sz w:val="22"/>
          <w:szCs w:val="22"/>
        </w:rPr>
        <w:t xml:space="preserve">do </w:t>
      </w:r>
      <w:r w:rsidR="001B44E2" w:rsidRPr="001B44E2">
        <w:rPr>
          <w:rFonts w:ascii="Arial" w:hAnsi="Arial" w:cs="Arial"/>
          <w:b/>
          <w:bCs/>
          <w:sz w:val="22"/>
          <w:szCs w:val="22"/>
        </w:rPr>
        <w:t>119</w:t>
      </w:r>
      <w:r w:rsidRPr="001B44E2">
        <w:rPr>
          <w:rFonts w:ascii="Arial" w:hAnsi="Arial" w:cs="Arial"/>
          <w:sz w:val="22"/>
          <w:szCs w:val="22"/>
        </w:rPr>
        <w:t xml:space="preserve"> kalendářních dní (počínaje </w:t>
      </w:r>
      <w:r w:rsidRPr="00393C5C">
        <w:rPr>
          <w:rFonts w:ascii="Arial" w:hAnsi="Arial" w:cs="Arial"/>
          <w:color w:val="000000"/>
          <w:sz w:val="22"/>
          <w:szCs w:val="22"/>
        </w:rPr>
        <w:t>následujícím kalendářním dnem po předání staveniště).</w:t>
      </w:r>
    </w:p>
    <w:p w:rsidR="00E82959" w:rsidRPr="00E82959" w:rsidRDefault="00E82959"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proofErr w:type="gramEnd"/>
      <w:r>
        <w:rPr>
          <w:rFonts w:ascii="Arial" w:hAnsi="Arial" w:cs="Arial"/>
          <w:b/>
          <w:sz w:val="22"/>
          <w:szCs w:val="22"/>
        </w:rPr>
        <w:t>.</w:t>
      </w:r>
      <w:r>
        <w:rPr>
          <w:rFonts w:ascii="Arial" w:hAnsi="Arial" w:cs="Arial"/>
          <w:sz w:val="22"/>
          <w:szCs w:val="22"/>
        </w:rPr>
        <w:t xml:space="preserve"> Kč</w:t>
      </w:r>
    </w:p>
    <w:p w:rsidR="00C322D1" w:rsidRDefault="00C322D1" w:rsidP="00C322D1">
      <w:pPr>
        <w:ind w:left="360"/>
        <w:jc w:val="both"/>
        <w:rPr>
          <w:rFonts w:ascii="Arial" w:hAnsi="Arial" w:cs="Arial"/>
          <w:sz w:val="22"/>
          <w:szCs w:val="22"/>
          <w:highlight w:val="yellow"/>
        </w:rPr>
      </w:pPr>
    </w:p>
    <w:p w:rsidR="00C322D1" w:rsidRPr="00BC5165" w:rsidRDefault="00C322D1" w:rsidP="00C322D1">
      <w:pPr>
        <w:ind w:left="360"/>
        <w:jc w:val="both"/>
        <w:rPr>
          <w:rFonts w:ascii="Arial" w:hAnsi="Arial" w:cs="Arial"/>
          <w:sz w:val="22"/>
          <w:szCs w:val="22"/>
        </w:rPr>
      </w:pPr>
      <w:r w:rsidRPr="00BC5165">
        <w:rPr>
          <w:rFonts w:ascii="Arial" w:hAnsi="Arial" w:cs="Arial"/>
          <w:sz w:val="22"/>
          <w:szCs w:val="22"/>
        </w:rPr>
        <w:t xml:space="preserve">z toho: </w:t>
      </w:r>
    </w:p>
    <w:p w:rsidR="000F7B4B" w:rsidRPr="00BC5165" w:rsidRDefault="000F7B4B" w:rsidP="00C322D1">
      <w:pPr>
        <w:ind w:left="360"/>
        <w:jc w:val="both"/>
        <w:rPr>
          <w:rFonts w:ascii="Arial" w:hAnsi="Arial" w:cs="Arial"/>
          <w:sz w:val="22"/>
          <w:szCs w:val="22"/>
        </w:rPr>
      </w:pPr>
    </w:p>
    <w:p w:rsidR="000C6182" w:rsidRPr="00BC5165" w:rsidRDefault="000C6182" w:rsidP="000C6182">
      <w:pPr>
        <w:ind w:left="360"/>
        <w:jc w:val="both"/>
        <w:rPr>
          <w:rFonts w:ascii="Arial" w:hAnsi="Arial" w:cs="Arial"/>
          <w:sz w:val="22"/>
          <w:szCs w:val="22"/>
        </w:rPr>
      </w:pPr>
      <w:proofErr w:type="gramStart"/>
      <w:r w:rsidRPr="00BC5165">
        <w:rPr>
          <w:rFonts w:ascii="Arial" w:hAnsi="Arial" w:cs="Arial"/>
          <w:sz w:val="22"/>
          <w:szCs w:val="22"/>
        </w:rPr>
        <w:t xml:space="preserve">oprava:   </w:t>
      </w:r>
      <w:proofErr w:type="gramEnd"/>
      <w:r w:rsidRPr="00BC5165">
        <w:rPr>
          <w:rFonts w:ascii="Arial" w:hAnsi="Arial" w:cs="Arial"/>
          <w:sz w:val="22"/>
          <w:szCs w:val="22"/>
        </w:rPr>
        <w:tab/>
      </w:r>
      <w:r w:rsidRPr="00BC5165">
        <w:rPr>
          <w:rFonts w:ascii="Arial" w:hAnsi="Arial" w:cs="Arial"/>
          <w:sz w:val="22"/>
          <w:szCs w:val="22"/>
        </w:rPr>
        <w:tab/>
        <w:t xml:space="preserve"> </w:t>
      </w:r>
      <w:r w:rsidRPr="00BC5165">
        <w:rPr>
          <w:rFonts w:ascii="Arial" w:hAnsi="Arial" w:cs="Arial"/>
          <w:sz w:val="22"/>
          <w:szCs w:val="22"/>
        </w:rPr>
        <w:tab/>
        <w:t xml:space="preserve">     </w:t>
      </w:r>
      <w:r w:rsidRPr="00BC5165">
        <w:rPr>
          <w:rFonts w:ascii="Arial" w:hAnsi="Arial" w:cs="Arial"/>
          <w:sz w:val="22"/>
          <w:szCs w:val="22"/>
        </w:rPr>
        <w:tab/>
      </w:r>
      <w:r w:rsidRPr="00BC5165">
        <w:rPr>
          <w:rFonts w:ascii="Arial" w:hAnsi="Arial" w:cs="Arial"/>
          <w:sz w:val="22"/>
          <w:szCs w:val="22"/>
        </w:rPr>
        <w:tab/>
      </w:r>
      <w:r w:rsidRPr="00BC5165">
        <w:rPr>
          <w:rFonts w:ascii="Arial" w:hAnsi="Arial" w:cs="Arial"/>
          <w:sz w:val="22"/>
          <w:szCs w:val="22"/>
        </w:rPr>
        <w:tab/>
        <w:t>.……………...Kč</w:t>
      </w:r>
    </w:p>
    <w:p w:rsidR="000C6182" w:rsidRPr="00BC5165" w:rsidRDefault="000C6182" w:rsidP="000C6182">
      <w:pPr>
        <w:ind w:left="360"/>
        <w:jc w:val="both"/>
        <w:rPr>
          <w:rFonts w:ascii="Arial" w:hAnsi="Arial" w:cs="Arial"/>
          <w:sz w:val="22"/>
          <w:szCs w:val="22"/>
        </w:rPr>
      </w:pPr>
      <w:r w:rsidRPr="00BC5165">
        <w:rPr>
          <w:rFonts w:ascii="Arial" w:hAnsi="Arial" w:cs="Arial"/>
          <w:sz w:val="22"/>
          <w:szCs w:val="22"/>
        </w:rPr>
        <w:tab/>
      </w:r>
    </w:p>
    <w:p w:rsidR="003541E9" w:rsidRDefault="000C6182" w:rsidP="000C6182">
      <w:pPr>
        <w:ind w:left="360"/>
        <w:jc w:val="both"/>
        <w:rPr>
          <w:rFonts w:ascii="Arial" w:hAnsi="Arial" w:cs="Arial"/>
          <w:sz w:val="22"/>
          <w:szCs w:val="22"/>
        </w:rPr>
      </w:pPr>
      <w:proofErr w:type="gramStart"/>
      <w:r w:rsidRPr="00BC5165">
        <w:rPr>
          <w:rFonts w:ascii="Arial" w:hAnsi="Arial" w:cs="Arial"/>
          <w:sz w:val="22"/>
          <w:szCs w:val="22"/>
        </w:rPr>
        <w:t xml:space="preserve">investice:  </w:t>
      </w:r>
      <w:r w:rsidRPr="00BC5165">
        <w:rPr>
          <w:rFonts w:ascii="Arial" w:hAnsi="Arial" w:cs="Arial"/>
          <w:sz w:val="22"/>
          <w:szCs w:val="22"/>
        </w:rPr>
        <w:tab/>
      </w:r>
      <w:proofErr w:type="gramEnd"/>
      <w:r w:rsidRPr="00BC5165">
        <w:rPr>
          <w:rFonts w:ascii="Arial" w:hAnsi="Arial" w:cs="Arial"/>
          <w:sz w:val="22"/>
          <w:szCs w:val="22"/>
        </w:rPr>
        <w:t xml:space="preserve">         </w:t>
      </w:r>
      <w:r w:rsidRPr="00BC5165">
        <w:rPr>
          <w:rFonts w:ascii="Arial" w:hAnsi="Arial" w:cs="Arial"/>
          <w:sz w:val="22"/>
          <w:szCs w:val="22"/>
        </w:rPr>
        <w:tab/>
      </w:r>
      <w:r w:rsidRPr="00BC5165">
        <w:rPr>
          <w:rFonts w:ascii="Arial" w:hAnsi="Arial" w:cs="Arial"/>
          <w:sz w:val="22"/>
          <w:szCs w:val="22"/>
        </w:rPr>
        <w:tab/>
      </w:r>
      <w:r w:rsidRPr="00BC5165">
        <w:rPr>
          <w:rFonts w:ascii="Arial" w:hAnsi="Arial" w:cs="Arial"/>
          <w:sz w:val="22"/>
          <w:szCs w:val="22"/>
        </w:rPr>
        <w:tab/>
      </w:r>
      <w:r w:rsidRPr="00BC5165">
        <w:rPr>
          <w:rFonts w:ascii="Arial" w:hAnsi="Arial" w:cs="Arial"/>
          <w:sz w:val="22"/>
          <w:szCs w:val="22"/>
        </w:rPr>
        <w:tab/>
      </w:r>
      <w:r w:rsidRPr="00BC5165">
        <w:rPr>
          <w:rFonts w:ascii="Arial" w:hAnsi="Arial" w:cs="Arial"/>
          <w:sz w:val="22"/>
          <w:szCs w:val="22"/>
        </w:rPr>
        <w:tab/>
        <w:t>.……………...Kč</w:t>
      </w:r>
    </w:p>
    <w:p w:rsidR="000C6182" w:rsidRDefault="000C6182" w:rsidP="000C6182">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BC5165" w:rsidRDefault="00D1305C" w:rsidP="00D8383F">
      <w:pPr>
        <w:pStyle w:val="Citace1"/>
        <w:numPr>
          <w:ilvl w:val="3"/>
          <w:numId w:val="3"/>
        </w:numPr>
        <w:spacing w:after="0" w:line="240" w:lineRule="auto"/>
        <w:jc w:val="both"/>
        <w:rPr>
          <w:rFonts w:ascii="Arial" w:hAnsi="Arial" w:cs="Arial"/>
          <w:i w:val="0"/>
          <w:color w:val="auto"/>
          <w:sz w:val="22"/>
          <w:szCs w:val="22"/>
        </w:rPr>
      </w:pPr>
      <w:r w:rsidRPr="00BC5165">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sidRPr="00BC5165">
        <w:rPr>
          <w:rFonts w:ascii="Arial" w:hAnsi="Arial" w:cs="Arial"/>
          <w:i w:val="0"/>
          <w:color w:val="auto"/>
          <w:sz w:val="22"/>
          <w:szCs w:val="22"/>
        </w:rPr>
        <w:t>zhotovitel</w:t>
      </w:r>
      <w:r w:rsidRPr="00BC5165">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BC5165">
        <w:rPr>
          <w:rFonts w:ascii="Arial" w:hAnsi="Arial" w:cs="Arial"/>
          <w:i w:val="0"/>
          <w:color w:val="auto"/>
          <w:sz w:val="22"/>
          <w:szCs w:val="22"/>
        </w:rPr>
        <w:t>zhotovitel</w:t>
      </w:r>
      <w:r w:rsidRPr="00BC5165">
        <w:rPr>
          <w:rFonts w:ascii="Arial" w:hAnsi="Arial" w:cs="Arial"/>
          <w:i w:val="0"/>
          <w:color w:val="auto"/>
          <w:sz w:val="22"/>
          <w:szCs w:val="22"/>
        </w:rPr>
        <w:t xml:space="preserve"> zajistí vystavení nové faktury k datu dalšího dílčího plnění.</w:t>
      </w:r>
    </w:p>
    <w:p w:rsidR="00802CE7" w:rsidRPr="00BC5165" w:rsidRDefault="00802CE7" w:rsidP="00802CE7"/>
    <w:p w:rsidR="0086177F" w:rsidRPr="00BC5165" w:rsidRDefault="0086177F" w:rsidP="0086177F">
      <w:pPr>
        <w:numPr>
          <w:ilvl w:val="3"/>
          <w:numId w:val="3"/>
        </w:numPr>
        <w:ind w:left="426" w:hanging="426"/>
        <w:jc w:val="both"/>
        <w:rPr>
          <w:rFonts w:ascii="Arial" w:hAnsi="Arial" w:cs="Arial"/>
          <w:sz w:val="22"/>
          <w:szCs w:val="22"/>
        </w:rPr>
      </w:pPr>
      <w:r w:rsidRPr="00BC5165">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BC5165">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lastRenderedPageBreak/>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w:t>
      </w:r>
      <w:r w:rsidRPr="00BC5165">
        <w:rPr>
          <w:rFonts w:ascii="Arial" w:hAnsi="Arial" w:cs="Arial"/>
          <w:color w:val="auto"/>
          <w:sz w:val="22"/>
          <w:szCs w:val="22"/>
        </w:rPr>
        <w:t xml:space="preserve">faktury je </w:t>
      </w:r>
      <w:r w:rsidRPr="00BC5165">
        <w:rPr>
          <w:rFonts w:ascii="Arial" w:hAnsi="Arial" w:cs="Arial"/>
          <w:b/>
          <w:color w:val="auto"/>
          <w:sz w:val="22"/>
          <w:szCs w:val="22"/>
        </w:rPr>
        <w:t>30 dnů</w:t>
      </w:r>
      <w:r w:rsidRPr="00BC5165">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bookmarkStart w:id="0" w:name="_GoBack"/>
      <w:bookmarkEnd w:id="0"/>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1B44E2" w:rsidRPr="001B44E2" w:rsidRDefault="001B44E2" w:rsidP="001B44E2">
      <w:pPr>
        <w:pStyle w:val="Zkladntext"/>
        <w:widowControl/>
        <w:numPr>
          <w:ilvl w:val="0"/>
          <w:numId w:val="4"/>
        </w:numPr>
        <w:tabs>
          <w:tab w:val="left" w:pos="360"/>
        </w:tabs>
        <w:jc w:val="both"/>
        <w:rPr>
          <w:rFonts w:cs="Arial"/>
          <w:color w:val="auto"/>
          <w:sz w:val="22"/>
          <w:szCs w:val="22"/>
        </w:rPr>
      </w:pPr>
      <w:r w:rsidRPr="001B44E2">
        <w:rPr>
          <w:rFonts w:cs="Arial"/>
          <w:color w:val="auto"/>
          <w:sz w:val="22"/>
          <w:szCs w:val="22"/>
        </w:rPr>
        <w:t xml:space="preserve">Záruční doba se sjednává na </w:t>
      </w:r>
      <w:r w:rsidRPr="001B44E2">
        <w:rPr>
          <w:rFonts w:cs="Arial"/>
          <w:b/>
          <w:color w:val="auto"/>
          <w:sz w:val="22"/>
          <w:szCs w:val="22"/>
        </w:rPr>
        <w:t>24 měsíců na technologická zařízení a 60 měsíců na stavební práce</w:t>
      </w:r>
      <w:r w:rsidRPr="001B44E2">
        <w:rPr>
          <w:rFonts w:cs="Arial"/>
          <w:color w:val="auto"/>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w:t>
      </w:r>
      <w:r w:rsidR="00346C0D" w:rsidRPr="00386410">
        <w:rPr>
          <w:rFonts w:cs="Arial"/>
          <w:sz w:val="22"/>
          <w:szCs w:val="22"/>
        </w:rPr>
        <w:lastRenderedPageBreak/>
        <w:t xml:space="preserve">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lastRenderedPageBreak/>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236055"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236055">
          <w:rPr>
            <w:rFonts w:ascii="Arial" w:hAnsi="Arial" w:cs="Arial"/>
            <w:color w:val="0000FF"/>
            <w:sz w:val="22"/>
            <w:szCs w:val="22"/>
          </w:rPr>
          <w:t>http://www.poh.cz/informace-o-zpracovani-osobnich-udaju/d-1369/p1=1459</w:t>
        </w:r>
      </w:hyperlink>
    </w:p>
    <w:p w:rsidR="0017039A" w:rsidRDefault="0017039A"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35C" w:rsidRDefault="008C435C">
      <w:r>
        <w:separator/>
      </w:r>
    </w:p>
  </w:endnote>
  <w:endnote w:type="continuationSeparator" w:id="0">
    <w:p w:rsidR="008C435C" w:rsidRDefault="008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35C" w:rsidRDefault="008C435C">
      <w:r>
        <w:separator/>
      </w:r>
    </w:p>
  </w:footnote>
  <w:footnote w:type="continuationSeparator" w:id="0">
    <w:p w:rsidR="008C435C" w:rsidRDefault="008C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97AC0"/>
    <w:rsid w:val="001B44E2"/>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3442"/>
    <w:rsid w:val="003649B0"/>
    <w:rsid w:val="00386410"/>
    <w:rsid w:val="00393C5C"/>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86A2F"/>
    <w:rsid w:val="0059593F"/>
    <w:rsid w:val="00595DCE"/>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0D31"/>
    <w:rsid w:val="008C435C"/>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930"/>
    <w:rsid w:val="00BB0952"/>
    <w:rsid w:val="00BB16E1"/>
    <w:rsid w:val="00BC1523"/>
    <w:rsid w:val="00BC5165"/>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6556"/>
    <w:rsid w:val="00C8132B"/>
    <w:rsid w:val="00C86B0F"/>
    <w:rsid w:val="00C931D1"/>
    <w:rsid w:val="00CA7704"/>
    <w:rsid w:val="00CA7CEE"/>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2027E"/>
  <w15:docId w15:val="{12E24D96-9145-4E6F-A258-890ED3FE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57</TotalTime>
  <Pages>9</Pages>
  <Words>3200</Words>
  <Characters>18880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Chmelík Martin</cp:lastModifiedBy>
  <cp:revision>33</cp:revision>
  <cp:lastPrinted>2010-05-05T09:52:00Z</cp:lastPrinted>
  <dcterms:created xsi:type="dcterms:W3CDTF">2017-12-15T13:43:00Z</dcterms:created>
  <dcterms:modified xsi:type="dcterms:W3CDTF">2020-02-10T08:58:00Z</dcterms:modified>
</cp:coreProperties>
</file>