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EB3" w:rsidRDefault="00F40EB3"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6804"/>
      </w:tblGrid>
      <w:tr w:rsidR="00F40EB3">
        <w:trPr>
          <w:cantSplit/>
          <w:trHeight w:val="230"/>
        </w:trPr>
        <w:tc>
          <w:tcPr>
            <w:tcW w:w="6804" w:type="dxa"/>
            <w:vMerge w:val="restart"/>
            <w:tcBorders>
              <w:right w:val="nil"/>
            </w:tcBorders>
          </w:tcPr>
          <w:p w:rsidR="00F40EB3" w:rsidRDefault="00F40EB3">
            <w:pPr>
              <w:rPr>
                <w:lang w:eastAsia="fi-FI"/>
              </w:rPr>
            </w:pPr>
          </w:p>
          <w:p w:rsidR="00836DFF" w:rsidRDefault="00836DFF">
            <w:pPr>
              <w:rPr>
                <w:lang w:eastAsia="fi-FI"/>
              </w:rPr>
            </w:pPr>
          </w:p>
          <w:p w:rsidR="00836DFF" w:rsidRDefault="00836DFF">
            <w:pPr>
              <w:rPr>
                <w:lang w:eastAsia="fi-FI"/>
              </w:rPr>
            </w:pPr>
          </w:p>
          <w:p w:rsidR="00836DFF" w:rsidRDefault="00836DFF">
            <w:pPr>
              <w:rPr>
                <w:lang w:eastAsia="fi-FI"/>
              </w:rPr>
            </w:pPr>
          </w:p>
        </w:tc>
        <w:tc>
          <w:tcPr>
            <w:tcW w:w="6804" w:type="dxa"/>
            <w:vMerge w:val="restart"/>
            <w:tcBorders>
              <w:left w:val="nil"/>
            </w:tcBorders>
            <w:noWrap/>
            <w:tcMar>
              <w:left w:w="0" w:type="dxa"/>
              <w:right w:w="0" w:type="dxa"/>
            </w:tcMar>
            <w:tcFitText/>
            <w:vAlign w:val="center"/>
          </w:tcPr>
          <w:p w:rsidR="00F40EB3" w:rsidRDefault="005F5148">
            <w:pPr>
              <w:jc w:val="center"/>
              <w:rPr>
                <w:lang w:eastAsia="fi-FI"/>
              </w:rPr>
            </w:pPr>
            <w:r w:rsidRPr="0081245C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1688D34" wp14:editId="32FDE42D">
                  <wp:simplePos x="0" y="0"/>
                  <wp:positionH relativeFrom="column">
                    <wp:posOffset>507365</wp:posOffset>
                  </wp:positionH>
                  <wp:positionV relativeFrom="paragraph">
                    <wp:posOffset>244475</wp:posOffset>
                  </wp:positionV>
                  <wp:extent cx="1266825" cy="346710"/>
                  <wp:effectExtent l="0" t="0" r="9525" b="0"/>
                  <wp:wrapNone/>
                  <wp:docPr id="7" name="Obrázek 7" descr="R:\__15220_intranet\__15220_16_A01_aquatis_web\AQUATIS logo\logo Aquat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__15220_intranet\__15220_16_A01_aquatis_web\AQUATIS logo\logo Aquat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40EB3">
        <w:trPr>
          <w:cantSplit/>
          <w:trHeight w:hRule="exact" w:val="165"/>
        </w:trPr>
        <w:tc>
          <w:tcPr>
            <w:tcW w:w="6804" w:type="dxa"/>
            <w:vMerge/>
            <w:tcBorders>
              <w:bottom w:val="nil"/>
              <w:right w:val="nil"/>
            </w:tcBorders>
          </w:tcPr>
          <w:p w:rsidR="00F40EB3" w:rsidRDefault="00F40EB3">
            <w:pPr>
              <w:pStyle w:val="Styl10"/>
              <w:rPr>
                <w:lang w:eastAsia="fi-FI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  <w:vAlign w:val="center"/>
          </w:tcPr>
          <w:p w:rsidR="00F40EB3" w:rsidRDefault="00F40EB3">
            <w:pPr>
              <w:pStyle w:val="Texttabulky"/>
              <w:overflowPunct w:val="0"/>
              <w:autoSpaceDE w:val="0"/>
              <w:autoSpaceDN w:val="0"/>
              <w:adjustRightInd w:val="0"/>
              <w:rPr>
                <w:szCs w:val="20"/>
                <w:lang w:eastAsia="fi-FI"/>
              </w:rPr>
            </w:pPr>
          </w:p>
        </w:tc>
      </w:tr>
      <w:tr w:rsidR="00836DFF" w:rsidTr="00F41690">
        <w:trPr>
          <w:cantSplit/>
          <w:trHeight w:hRule="exact" w:val="855"/>
        </w:trPr>
        <w:tc>
          <w:tcPr>
            <w:tcW w:w="6804" w:type="dxa"/>
            <w:vMerge w:val="restart"/>
            <w:tcBorders>
              <w:top w:val="nil"/>
              <w:right w:val="nil"/>
            </w:tcBorders>
            <w:vAlign w:val="center"/>
          </w:tcPr>
          <w:p w:rsidR="00836DFF" w:rsidRDefault="00836DFF" w:rsidP="00836DFF">
            <w:pPr>
              <w:pStyle w:val="Styl14"/>
              <w:jc w:val="center"/>
              <w:rPr>
                <w:b/>
              </w:rPr>
            </w:pPr>
          </w:p>
          <w:p w:rsidR="00836DFF" w:rsidRDefault="00836DFF" w:rsidP="00836DFF">
            <w:pPr>
              <w:pStyle w:val="Styl14"/>
              <w:jc w:val="center"/>
              <w:rPr>
                <w:b/>
              </w:rPr>
            </w:pPr>
          </w:p>
          <w:p w:rsidR="00836DFF" w:rsidRPr="00836DFF" w:rsidRDefault="00836DFF" w:rsidP="00836DFF">
            <w:pPr>
              <w:pStyle w:val="Styl14"/>
              <w:jc w:val="center"/>
              <w:rPr>
                <w:b/>
              </w:rPr>
            </w:pPr>
            <w:r w:rsidRPr="00836DFF">
              <w:rPr>
                <w:b/>
              </w:rPr>
              <w:t>VD Karolinka, rekonstrukce schodiště</w:t>
            </w:r>
          </w:p>
          <w:p w:rsidR="00836DFF" w:rsidRDefault="00836DFF" w:rsidP="00836DFF">
            <w:pPr>
              <w:pStyle w:val="Styl14"/>
              <w:jc w:val="center"/>
            </w:pPr>
            <w:r>
              <w:t>Dokumentace pro stavební povolení,</w:t>
            </w:r>
          </w:p>
          <w:p w:rsidR="00836DFF" w:rsidRDefault="00836DFF" w:rsidP="00836DFF">
            <w:pPr>
              <w:pStyle w:val="Styl14"/>
              <w:jc w:val="center"/>
            </w:pPr>
            <w:r>
              <w:t>dokumentace pro provádění stavby</w:t>
            </w:r>
          </w:p>
          <w:p w:rsidR="00580E4D" w:rsidRDefault="002E5E40" w:rsidP="00E74572">
            <w:pPr>
              <w:pStyle w:val="Styl14"/>
              <w:jc w:val="center"/>
              <w:rPr>
                <w:b/>
                <w:bCs/>
              </w:rPr>
            </w:pPr>
            <w:r>
              <w:t>Zdrojová data</w:t>
            </w:r>
            <w:r w:rsidR="00E74572">
              <w:t xml:space="preserve"> +PDF</w:t>
            </w:r>
          </w:p>
        </w:tc>
        <w:tc>
          <w:tcPr>
            <w:tcW w:w="6804" w:type="dxa"/>
            <w:vMerge/>
            <w:tcBorders>
              <w:left w:val="nil"/>
              <w:bottom w:val="nil"/>
            </w:tcBorders>
          </w:tcPr>
          <w:p w:rsidR="00836DFF" w:rsidRDefault="00836DFF" w:rsidP="00836DFF">
            <w:pPr>
              <w:pStyle w:val="Texttabulky"/>
              <w:overflowPunct w:val="0"/>
              <w:autoSpaceDE w:val="0"/>
              <w:autoSpaceDN w:val="0"/>
              <w:adjustRightInd w:val="0"/>
              <w:spacing w:before="0" w:after="0"/>
              <w:rPr>
                <w:szCs w:val="20"/>
                <w:lang w:eastAsia="fi-FI"/>
              </w:rPr>
            </w:pPr>
          </w:p>
        </w:tc>
      </w:tr>
      <w:tr w:rsidR="00836DFF" w:rsidTr="00F41690">
        <w:trPr>
          <w:cantSplit/>
          <w:trHeight w:hRule="exact" w:val="2760"/>
        </w:trPr>
        <w:tc>
          <w:tcPr>
            <w:tcW w:w="6804" w:type="dxa"/>
            <w:vMerge/>
            <w:tcBorders>
              <w:top w:val="nil"/>
              <w:right w:val="nil"/>
            </w:tcBorders>
            <w:vAlign w:val="center"/>
          </w:tcPr>
          <w:p w:rsidR="00836DFF" w:rsidRDefault="00836DFF" w:rsidP="00836DFF">
            <w:pPr>
              <w:pStyle w:val="Styl14"/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  <w:vAlign w:val="center"/>
          </w:tcPr>
          <w:p w:rsidR="00836DFF" w:rsidRPr="00836DFF" w:rsidRDefault="00836DFF" w:rsidP="00836DFF">
            <w:pPr>
              <w:pStyle w:val="Styl14"/>
              <w:jc w:val="center"/>
              <w:rPr>
                <w:b/>
              </w:rPr>
            </w:pPr>
            <w:r w:rsidRPr="00836DFF">
              <w:rPr>
                <w:b/>
              </w:rPr>
              <w:t>VD Karolinka, rekonstrukce schodiště</w:t>
            </w:r>
          </w:p>
          <w:p w:rsidR="00836DFF" w:rsidRDefault="00836DFF" w:rsidP="00836DFF">
            <w:pPr>
              <w:pStyle w:val="Styl14"/>
              <w:jc w:val="center"/>
            </w:pPr>
            <w:r>
              <w:t>Dokumentace pro stavební povolení,</w:t>
            </w:r>
          </w:p>
          <w:p w:rsidR="00836DFF" w:rsidRDefault="00836DFF" w:rsidP="00836DFF">
            <w:pPr>
              <w:pStyle w:val="Styl14"/>
              <w:jc w:val="center"/>
              <w:rPr>
                <w:szCs w:val="20"/>
                <w:lang w:eastAsia="fi-FI"/>
              </w:rPr>
            </w:pPr>
            <w:r>
              <w:t>dokumentace pro provádění stavby</w:t>
            </w:r>
            <w:r>
              <w:rPr>
                <w:szCs w:val="20"/>
                <w:lang w:eastAsia="fi-FI"/>
              </w:rPr>
              <w:t xml:space="preserve"> </w:t>
            </w:r>
          </w:p>
          <w:p w:rsidR="00580E4D" w:rsidRDefault="00E74572" w:rsidP="00836DFF">
            <w:pPr>
              <w:pStyle w:val="Styl14"/>
              <w:jc w:val="center"/>
              <w:rPr>
                <w:szCs w:val="20"/>
                <w:lang w:eastAsia="fi-FI"/>
              </w:rPr>
            </w:pPr>
            <w:r>
              <w:t>Zdrojová data +PDF</w:t>
            </w:r>
          </w:p>
        </w:tc>
      </w:tr>
      <w:tr w:rsidR="00836DFF">
        <w:trPr>
          <w:cantSplit/>
          <w:trHeight w:hRule="exact" w:val="1605"/>
        </w:trPr>
        <w:tc>
          <w:tcPr>
            <w:tcW w:w="6804" w:type="dxa"/>
            <w:vMerge/>
            <w:tcBorders>
              <w:bottom w:val="nil"/>
              <w:right w:val="nil"/>
            </w:tcBorders>
          </w:tcPr>
          <w:p w:rsidR="00836DFF" w:rsidRDefault="00836DFF" w:rsidP="00836DFF">
            <w:pPr>
              <w:overflowPunct w:val="0"/>
              <w:autoSpaceDE w:val="0"/>
              <w:autoSpaceDN w:val="0"/>
              <w:adjustRightInd w:val="0"/>
              <w:ind w:left="284"/>
              <w:rPr>
                <w:szCs w:val="20"/>
                <w:lang w:eastAsia="fi-FI"/>
              </w:rPr>
            </w:pPr>
          </w:p>
        </w:tc>
        <w:tc>
          <w:tcPr>
            <w:tcW w:w="6804" w:type="dxa"/>
            <w:vMerge/>
            <w:tcBorders>
              <w:left w:val="nil"/>
              <w:bottom w:val="nil"/>
            </w:tcBorders>
          </w:tcPr>
          <w:p w:rsidR="00836DFF" w:rsidRDefault="00836DFF" w:rsidP="00836DFF">
            <w:pPr>
              <w:pStyle w:val="Styl14"/>
              <w:jc w:val="center"/>
              <w:rPr>
                <w:noProof/>
                <w:szCs w:val="20"/>
                <w:lang w:eastAsia="fi-FI"/>
              </w:rPr>
            </w:pPr>
          </w:p>
        </w:tc>
      </w:tr>
      <w:tr w:rsidR="00836DFF">
        <w:trPr>
          <w:cantSplit/>
          <w:trHeight w:hRule="exact" w:val="360"/>
        </w:trPr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:rsidR="00836DFF" w:rsidRDefault="00836DFF" w:rsidP="00836DFF">
            <w:pPr>
              <w:overflowPunct w:val="0"/>
              <w:autoSpaceDE w:val="0"/>
              <w:autoSpaceDN w:val="0"/>
              <w:adjustRightInd w:val="0"/>
              <w:ind w:left="284"/>
              <w:rPr>
                <w:szCs w:val="20"/>
                <w:lang w:eastAsia="fi-FI"/>
              </w:rPr>
            </w:pPr>
            <w:r>
              <w:rPr>
                <w:szCs w:val="20"/>
                <w:lang w:eastAsia="fi-FI"/>
              </w:rPr>
              <w:t>Copyright ©  AQUATIS a.s.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</w:tcPr>
          <w:p w:rsidR="00836DFF" w:rsidRDefault="00836DFF" w:rsidP="00836DFF">
            <w:pPr>
              <w:tabs>
                <w:tab w:val="left" w:pos="7920"/>
              </w:tabs>
            </w:pPr>
          </w:p>
        </w:tc>
      </w:tr>
      <w:tr w:rsidR="00836DFF">
        <w:trPr>
          <w:cantSplit/>
          <w:trHeight w:hRule="exact" w:val="870"/>
        </w:trPr>
        <w:tc>
          <w:tcPr>
            <w:tcW w:w="6804" w:type="dxa"/>
            <w:tcBorders>
              <w:top w:val="nil"/>
              <w:bottom w:val="single" w:sz="4" w:space="0" w:color="auto"/>
              <w:right w:val="nil"/>
            </w:tcBorders>
          </w:tcPr>
          <w:p w:rsidR="00836DFF" w:rsidRDefault="00836DFF" w:rsidP="00836DFF">
            <w:pPr>
              <w:overflowPunct w:val="0"/>
              <w:autoSpaceDE w:val="0"/>
              <w:autoSpaceDN w:val="0"/>
              <w:adjustRightInd w:val="0"/>
              <w:jc w:val="center"/>
              <w:rPr>
                <w:szCs w:val="20"/>
                <w:lang w:eastAsia="fi-FI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</w:tcBorders>
          </w:tcPr>
          <w:p w:rsidR="00836DFF" w:rsidRDefault="00836DFF" w:rsidP="00836DFF">
            <w:pPr>
              <w:jc w:val="center"/>
              <w:rPr>
                <w:noProof/>
              </w:rPr>
            </w:pPr>
          </w:p>
          <w:p w:rsidR="00836DFF" w:rsidRDefault="00836DFF" w:rsidP="00836DFF">
            <w:pPr>
              <w:tabs>
                <w:tab w:val="left" w:pos="5355"/>
              </w:tabs>
            </w:pPr>
            <w:r>
              <w:tab/>
            </w:r>
          </w:p>
        </w:tc>
      </w:tr>
    </w:tbl>
    <w:p w:rsidR="00F40EB3" w:rsidRDefault="00F40EB3"/>
    <w:p w:rsidR="00F40EB3" w:rsidRDefault="00F40EB3"/>
    <w:p w:rsidR="00F40EB3" w:rsidRDefault="00F40EB3"/>
    <w:p w:rsidR="00F40EB3" w:rsidRDefault="00F40EB3"/>
    <w:p w:rsidR="00F40EB3" w:rsidRDefault="00F40EB3">
      <w:r>
        <w:br w:type="page"/>
      </w:r>
    </w:p>
    <w:p w:rsidR="00F40EB3" w:rsidRDefault="00F40EB3">
      <w:pPr>
        <w:overflowPunct w:val="0"/>
        <w:autoSpaceDE w:val="0"/>
        <w:autoSpaceDN w:val="0"/>
        <w:adjustRightInd w:val="0"/>
        <w:rPr>
          <w:szCs w:val="20"/>
          <w:lang w:eastAsia="fi-FI"/>
        </w:rPr>
      </w:pPr>
    </w:p>
    <w:tbl>
      <w:tblPr>
        <w:tblW w:w="0" w:type="auto"/>
        <w:tblBorders>
          <w:top w:val="single" w:sz="4" w:space="0" w:color="212A7A"/>
          <w:left w:val="single" w:sz="4" w:space="0" w:color="212A7A"/>
          <w:bottom w:val="single" w:sz="4" w:space="0" w:color="212A7A"/>
          <w:right w:val="single" w:sz="4" w:space="0" w:color="212A7A"/>
          <w:insideH w:val="single" w:sz="4" w:space="0" w:color="212A7A"/>
          <w:insideV w:val="single" w:sz="4" w:space="0" w:color="212A7A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9"/>
        <w:gridCol w:w="7825"/>
        <w:gridCol w:w="369"/>
      </w:tblGrid>
      <w:tr w:rsidR="00F40EB3">
        <w:trPr>
          <w:trHeight w:hRule="exact" w:val="6350"/>
        </w:trPr>
        <w:tc>
          <w:tcPr>
            <w:tcW w:w="369" w:type="dxa"/>
            <w:shd w:val="clear" w:color="auto" w:fill="212A7A"/>
            <w:tcMar>
              <w:top w:w="284" w:type="dxa"/>
              <w:bottom w:w="284" w:type="dxa"/>
            </w:tcMar>
            <w:textDirection w:val="btLr"/>
            <w:tcFitText/>
            <w:vAlign w:val="center"/>
          </w:tcPr>
          <w:p w:rsidR="00F40EB3" w:rsidRPr="00473AE9" w:rsidRDefault="00E82A98">
            <w:pPr>
              <w:jc w:val="center"/>
              <w:rPr>
                <w:color w:val="FFFFFF"/>
                <w:sz w:val="18"/>
                <w:szCs w:val="18"/>
                <w:lang w:eastAsia="fi-FI"/>
              </w:rPr>
            </w:pPr>
            <w:r w:rsidRPr="00E82A98">
              <w:rPr>
                <w:sz w:val="18"/>
                <w:szCs w:val="18"/>
              </w:rPr>
              <w:t>VD Karolinka, rekonstrukce schodiště</w:t>
            </w:r>
          </w:p>
        </w:tc>
        <w:tc>
          <w:tcPr>
            <w:tcW w:w="7825" w:type="dxa"/>
            <w:tcMar>
              <w:top w:w="284" w:type="dxa"/>
              <w:left w:w="284" w:type="dxa"/>
              <w:bottom w:w="284" w:type="dxa"/>
              <w:right w:w="284" w:type="dxa"/>
            </w:tcMar>
          </w:tcPr>
          <w:p w:rsidR="00F40EB3" w:rsidRDefault="005F514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color w:val="212A7A"/>
                <w:sz w:val="24"/>
                <w:szCs w:val="20"/>
                <w:lang w:eastAsia="fi-FI"/>
              </w:rPr>
            </w:pPr>
            <w:r>
              <w:rPr>
                <w:b/>
                <w:bCs/>
                <w:color w:val="212A7A"/>
                <w:sz w:val="24"/>
              </w:rPr>
              <w:t>AQUATIS</w:t>
            </w:r>
            <w:r w:rsidR="00F40EB3">
              <w:rPr>
                <w:b/>
                <w:bCs/>
                <w:color w:val="212A7A"/>
                <w:sz w:val="24"/>
              </w:rPr>
              <w:t xml:space="preserve"> a.s.</w:t>
            </w:r>
          </w:p>
          <w:p w:rsidR="00F40EB3" w:rsidRDefault="00F40EB3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212A7A"/>
                <w:sz w:val="24"/>
                <w:szCs w:val="20"/>
                <w:lang w:eastAsia="fi-FI"/>
              </w:rPr>
            </w:pPr>
          </w:p>
          <w:p w:rsidR="00F40EB3" w:rsidRDefault="00F40EB3">
            <w:pPr>
              <w:rPr>
                <w:sz w:val="19"/>
                <w:lang w:eastAsia="fi-FI"/>
              </w:rPr>
            </w:pPr>
          </w:p>
          <w:p w:rsidR="00F40EB3" w:rsidRDefault="00F40EB3">
            <w:pPr>
              <w:rPr>
                <w:sz w:val="19"/>
                <w:lang w:eastAsia="fi-FI"/>
              </w:rPr>
            </w:pPr>
          </w:p>
          <w:p w:rsidR="00F40EB3" w:rsidRDefault="00F40EB3">
            <w:pPr>
              <w:rPr>
                <w:sz w:val="19"/>
                <w:lang w:eastAsia="fi-FI"/>
              </w:rPr>
            </w:pPr>
          </w:p>
          <w:p w:rsidR="00F40EB3" w:rsidRDefault="00F40EB3">
            <w:pPr>
              <w:rPr>
                <w:sz w:val="19"/>
                <w:lang w:eastAsia="fi-FI"/>
              </w:rPr>
            </w:pPr>
          </w:p>
          <w:p w:rsidR="00F40EB3" w:rsidRDefault="00F40EB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sz w:val="19"/>
                <w:szCs w:val="20"/>
                <w:lang w:eastAsia="fi-FI"/>
              </w:rPr>
            </w:pPr>
            <w:r>
              <w:rPr>
                <w:sz w:val="19"/>
                <w:szCs w:val="20"/>
                <w:lang w:eastAsia="fi-FI"/>
              </w:rPr>
              <w:t>konzultační a posudková činnost</w:t>
            </w:r>
          </w:p>
          <w:p w:rsidR="00F40EB3" w:rsidRDefault="00F40EB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sz w:val="19"/>
                <w:szCs w:val="20"/>
                <w:lang w:eastAsia="fi-FI"/>
              </w:rPr>
            </w:pPr>
            <w:r>
              <w:rPr>
                <w:sz w:val="19"/>
                <w:szCs w:val="20"/>
                <w:lang w:eastAsia="fi-FI"/>
              </w:rPr>
              <w:t>studie a úvodní projekty</w:t>
            </w:r>
          </w:p>
          <w:p w:rsidR="00F40EB3" w:rsidRDefault="00F40EB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sz w:val="19"/>
                <w:szCs w:val="20"/>
                <w:lang w:eastAsia="fi-FI"/>
              </w:rPr>
            </w:pPr>
            <w:r>
              <w:rPr>
                <w:sz w:val="19"/>
                <w:szCs w:val="20"/>
                <w:lang w:eastAsia="fi-FI"/>
              </w:rPr>
              <w:t>generely a podrobné projekty</w:t>
            </w:r>
          </w:p>
          <w:p w:rsidR="00F40EB3" w:rsidRDefault="00F40EB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sz w:val="19"/>
                <w:szCs w:val="20"/>
                <w:lang w:eastAsia="fi-FI"/>
              </w:rPr>
            </w:pPr>
            <w:r>
              <w:rPr>
                <w:sz w:val="19"/>
                <w:szCs w:val="20"/>
                <w:lang w:eastAsia="fi-FI"/>
              </w:rPr>
              <w:t>základní průzkumné práce - geodetické, geologické, hydrogeologické, chemické - včetně vyhodnocení</w:t>
            </w:r>
          </w:p>
          <w:p w:rsidR="00F40EB3" w:rsidRDefault="00F40EB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sz w:val="19"/>
                <w:szCs w:val="20"/>
                <w:lang w:eastAsia="fi-FI"/>
              </w:rPr>
            </w:pPr>
            <w:r>
              <w:rPr>
                <w:sz w:val="19"/>
                <w:szCs w:val="20"/>
                <w:lang w:eastAsia="fi-FI"/>
              </w:rPr>
              <w:t>dokumentace o vlivech staveb na životní prostředí</w:t>
            </w:r>
          </w:p>
          <w:p w:rsidR="00F40EB3" w:rsidRDefault="00F40EB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sz w:val="19"/>
                <w:szCs w:val="20"/>
                <w:lang w:eastAsia="fi-FI"/>
              </w:rPr>
            </w:pPr>
            <w:r>
              <w:rPr>
                <w:sz w:val="19"/>
                <w:szCs w:val="20"/>
                <w:lang w:eastAsia="fi-FI"/>
              </w:rPr>
              <w:t>speciální výpočty hydraulické, statické</w:t>
            </w:r>
          </w:p>
          <w:p w:rsidR="00F40EB3" w:rsidRDefault="00F40EB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sz w:val="19"/>
                <w:szCs w:val="20"/>
                <w:lang w:eastAsia="fi-FI"/>
              </w:rPr>
            </w:pPr>
            <w:r>
              <w:rPr>
                <w:sz w:val="19"/>
                <w:szCs w:val="20"/>
                <w:lang w:eastAsia="fi-FI"/>
              </w:rPr>
              <w:t>projekty všech stupňů, vedení stavby a stavební dozor</w:t>
            </w:r>
          </w:p>
          <w:p w:rsidR="00F40EB3" w:rsidRDefault="00F40EB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sz w:val="19"/>
                <w:szCs w:val="20"/>
                <w:lang w:eastAsia="fi-FI"/>
              </w:rPr>
            </w:pPr>
            <w:r>
              <w:rPr>
                <w:sz w:val="19"/>
                <w:szCs w:val="20"/>
                <w:lang w:eastAsia="fi-FI"/>
              </w:rPr>
              <w:t>konkurzy, kontrola nabídkové dokumentace a poradenství při zadávání veřejných zakázek</w:t>
            </w:r>
          </w:p>
          <w:p w:rsidR="00F40EB3" w:rsidRDefault="00F40EB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sz w:val="19"/>
                <w:szCs w:val="20"/>
                <w:lang w:eastAsia="fi-FI"/>
              </w:rPr>
            </w:pPr>
            <w:r>
              <w:rPr>
                <w:sz w:val="19"/>
                <w:szCs w:val="20"/>
                <w:lang w:eastAsia="fi-FI"/>
              </w:rPr>
              <w:t>uvádění staveb do provozu a zkušební provoz</w:t>
            </w:r>
          </w:p>
          <w:p w:rsidR="00F40EB3" w:rsidRDefault="00F40EB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sz w:val="19"/>
                <w:szCs w:val="20"/>
                <w:lang w:eastAsia="fi-FI"/>
              </w:rPr>
            </w:pPr>
            <w:r>
              <w:rPr>
                <w:sz w:val="19"/>
                <w:szCs w:val="20"/>
                <w:lang w:eastAsia="fi-FI"/>
              </w:rPr>
              <w:t>provozní a manipulační řády</w:t>
            </w:r>
          </w:p>
          <w:p w:rsidR="00F40EB3" w:rsidRDefault="00F40EB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sz w:val="18"/>
                <w:szCs w:val="20"/>
                <w:lang w:eastAsia="fi-FI"/>
              </w:rPr>
            </w:pPr>
            <w:r>
              <w:rPr>
                <w:sz w:val="19"/>
                <w:szCs w:val="20"/>
                <w:lang w:eastAsia="fi-FI"/>
              </w:rPr>
              <w:t>geodetická měření a kartografické práce</w:t>
            </w:r>
          </w:p>
          <w:p w:rsidR="00F40EB3" w:rsidRDefault="00F40EB3">
            <w:pPr>
              <w:rPr>
                <w:lang w:eastAsia="fi-FI"/>
              </w:rPr>
            </w:pPr>
          </w:p>
          <w:p w:rsidR="00F40EB3" w:rsidRDefault="00F40EB3">
            <w:pPr>
              <w:rPr>
                <w:lang w:eastAsia="fi-FI"/>
              </w:rPr>
            </w:pPr>
          </w:p>
          <w:p w:rsidR="00F40EB3" w:rsidRDefault="00F40EB3">
            <w:pPr>
              <w:rPr>
                <w:lang w:eastAsia="fi-FI"/>
              </w:rPr>
            </w:pPr>
          </w:p>
          <w:p w:rsidR="00F40EB3" w:rsidRDefault="005F514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19"/>
                <w:szCs w:val="20"/>
                <w:lang w:eastAsia="fi-FI"/>
              </w:rPr>
            </w:pPr>
            <w:r>
              <w:rPr>
                <w:b/>
                <w:bCs/>
                <w:i/>
                <w:iCs/>
                <w:szCs w:val="20"/>
                <w:lang w:eastAsia="fi-FI"/>
              </w:rPr>
              <w:t>AQUATIS</w:t>
            </w:r>
            <w:r w:rsidR="00F40EB3">
              <w:rPr>
                <w:b/>
                <w:bCs/>
                <w:i/>
                <w:iCs/>
                <w:szCs w:val="20"/>
                <w:lang w:eastAsia="fi-FI"/>
              </w:rPr>
              <w:t xml:space="preserve"> a.s.</w:t>
            </w:r>
          </w:p>
          <w:p w:rsidR="00F40EB3" w:rsidRDefault="00F40EB3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iCs/>
                <w:sz w:val="19"/>
                <w:szCs w:val="20"/>
                <w:lang w:eastAsia="fi-FI"/>
              </w:rPr>
            </w:pPr>
            <w:r>
              <w:rPr>
                <w:i/>
                <w:iCs/>
                <w:sz w:val="19"/>
                <w:szCs w:val="20"/>
                <w:lang w:eastAsia="fi-FI"/>
              </w:rPr>
              <w:t xml:space="preserve">Botanická 834/56, 602 00 Brno, </w:t>
            </w:r>
            <w:r w:rsidR="005F5148" w:rsidRPr="005F5148">
              <w:rPr>
                <w:i/>
                <w:iCs/>
                <w:sz w:val="18"/>
                <w:szCs w:val="18"/>
                <w:lang w:eastAsia="fi-FI"/>
              </w:rPr>
              <w:t>Č</w:t>
            </w:r>
            <w:r>
              <w:rPr>
                <w:i/>
                <w:iCs/>
                <w:sz w:val="19"/>
                <w:szCs w:val="20"/>
                <w:lang w:eastAsia="fi-FI"/>
              </w:rPr>
              <w:t>eská republika</w:t>
            </w:r>
          </w:p>
          <w:p w:rsidR="00F40EB3" w:rsidRDefault="00F40EB3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iCs/>
                <w:sz w:val="19"/>
                <w:szCs w:val="20"/>
                <w:lang w:eastAsia="fi-FI"/>
              </w:rPr>
            </w:pPr>
            <w:r>
              <w:rPr>
                <w:i/>
                <w:iCs/>
                <w:sz w:val="19"/>
                <w:szCs w:val="20"/>
                <w:lang w:eastAsia="fi-FI"/>
              </w:rPr>
              <w:t>Tel.: (+420) 541 554 111, Fax: (+420) 541 211 205</w:t>
            </w:r>
          </w:p>
          <w:p w:rsidR="00F40EB3" w:rsidRDefault="00F40EB3" w:rsidP="005F514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0"/>
                <w:lang w:eastAsia="fi-FI"/>
              </w:rPr>
            </w:pPr>
            <w:r>
              <w:rPr>
                <w:b/>
                <w:bCs/>
                <w:i/>
                <w:iCs/>
                <w:sz w:val="19"/>
                <w:szCs w:val="20"/>
                <w:lang w:eastAsia="fi-FI"/>
              </w:rPr>
              <w:t>www.</w:t>
            </w:r>
            <w:r w:rsidR="005F5148">
              <w:rPr>
                <w:b/>
                <w:bCs/>
                <w:i/>
                <w:iCs/>
                <w:sz w:val="19"/>
                <w:szCs w:val="20"/>
                <w:lang w:eastAsia="fi-FI"/>
              </w:rPr>
              <w:t>aquatis</w:t>
            </w:r>
            <w:r>
              <w:rPr>
                <w:b/>
                <w:bCs/>
                <w:i/>
                <w:iCs/>
                <w:sz w:val="19"/>
                <w:szCs w:val="20"/>
                <w:lang w:eastAsia="fi-FI"/>
              </w:rPr>
              <w:t>.cz</w:t>
            </w:r>
          </w:p>
        </w:tc>
        <w:tc>
          <w:tcPr>
            <w:tcW w:w="369" w:type="dxa"/>
            <w:shd w:val="clear" w:color="auto" w:fill="212A7A"/>
            <w:tcMar>
              <w:top w:w="284" w:type="dxa"/>
              <w:bottom w:w="284" w:type="dxa"/>
            </w:tcMar>
            <w:textDirection w:val="tbRl"/>
            <w:tcFitText/>
            <w:vAlign w:val="center"/>
          </w:tcPr>
          <w:p w:rsidR="00F40EB3" w:rsidRPr="00473AE9" w:rsidRDefault="00E82A98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fi-FI"/>
              </w:rPr>
            </w:pPr>
            <w:r w:rsidRPr="00E82A98">
              <w:rPr>
                <w:sz w:val="18"/>
                <w:szCs w:val="18"/>
              </w:rPr>
              <w:t>CD Karolinka, rekonstrukce schodiště</w:t>
            </w:r>
          </w:p>
        </w:tc>
      </w:tr>
    </w:tbl>
    <w:p w:rsidR="00F40EB3" w:rsidRDefault="00F40EB3"/>
    <w:sectPr w:rsidR="00F40EB3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B97" w:rsidRDefault="00333B97" w:rsidP="005F5148">
      <w:r>
        <w:separator/>
      </w:r>
    </w:p>
  </w:endnote>
  <w:endnote w:type="continuationSeparator" w:id="0">
    <w:p w:rsidR="00333B97" w:rsidRDefault="00333B97" w:rsidP="005F5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B97" w:rsidRDefault="00333B97" w:rsidP="005F5148">
      <w:r>
        <w:separator/>
      </w:r>
    </w:p>
  </w:footnote>
  <w:footnote w:type="continuationSeparator" w:id="0">
    <w:p w:rsidR="00333B97" w:rsidRDefault="00333B97" w:rsidP="005F51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41123"/>
    <w:multiLevelType w:val="singleLevel"/>
    <w:tmpl w:val="53FEC9C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>
    <w:nsid w:val="170D1424"/>
    <w:multiLevelType w:val="singleLevel"/>
    <w:tmpl w:val="53FEC9C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6A080013"/>
    <w:multiLevelType w:val="hybridMultilevel"/>
    <w:tmpl w:val="0CB49324"/>
    <w:lvl w:ilvl="0" w:tplc="B182640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DD84335"/>
    <w:multiLevelType w:val="singleLevel"/>
    <w:tmpl w:val="53FEC9C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B97"/>
    <w:rsid w:val="000D4EAC"/>
    <w:rsid w:val="002E5E40"/>
    <w:rsid w:val="00333B97"/>
    <w:rsid w:val="00473AE9"/>
    <w:rsid w:val="004C5B22"/>
    <w:rsid w:val="00580E4D"/>
    <w:rsid w:val="005F5148"/>
    <w:rsid w:val="00781DB0"/>
    <w:rsid w:val="00800245"/>
    <w:rsid w:val="0081245C"/>
    <w:rsid w:val="00836DFF"/>
    <w:rsid w:val="009625BC"/>
    <w:rsid w:val="00A5389D"/>
    <w:rsid w:val="00D73527"/>
    <w:rsid w:val="00DC2619"/>
    <w:rsid w:val="00DF5654"/>
    <w:rsid w:val="00E74572"/>
    <w:rsid w:val="00E82A98"/>
    <w:rsid w:val="00F4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paragraph" w:customStyle="1" w:styleId="Styl14">
    <w:name w:val="Styl 14"/>
    <w:basedOn w:val="Normln"/>
    <w:pPr>
      <w:keepLines/>
      <w:widowControl w:val="0"/>
      <w:spacing w:before="100" w:after="100"/>
      <w:ind w:left="284" w:right="284"/>
    </w:pPr>
    <w:rPr>
      <w:sz w:val="28"/>
    </w:rPr>
  </w:style>
  <w:style w:type="paragraph" w:customStyle="1" w:styleId="Styl10">
    <w:name w:val="Styl 10"/>
    <w:basedOn w:val="Normln"/>
    <w:pPr>
      <w:widowControl w:val="0"/>
      <w:spacing w:before="100" w:after="100"/>
      <w:ind w:left="284" w:right="284"/>
    </w:pPr>
  </w:style>
  <w:style w:type="paragraph" w:customStyle="1" w:styleId="Bntext">
    <w:name w:val="Běžný text"/>
    <w:basedOn w:val="Normln"/>
    <w:link w:val="BntextChar"/>
    <w:pPr>
      <w:widowControl w:val="0"/>
      <w:spacing w:before="60" w:after="60"/>
      <w:jc w:val="both"/>
    </w:pPr>
  </w:style>
  <w:style w:type="paragraph" w:styleId="Zhlav">
    <w:name w:val="header"/>
    <w:basedOn w:val="Normln"/>
    <w:link w:val="ZhlavChar"/>
    <w:rsid w:val="005F51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F5148"/>
    <w:rPr>
      <w:rFonts w:ascii="Arial" w:hAnsi="Arial"/>
      <w:szCs w:val="24"/>
    </w:rPr>
  </w:style>
  <w:style w:type="paragraph" w:styleId="Zpat">
    <w:name w:val="footer"/>
    <w:basedOn w:val="Normln"/>
    <w:link w:val="ZpatChar"/>
    <w:rsid w:val="005F51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F5148"/>
    <w:rPr>
      <w:rFonts w:ascii="Arial" w:hAnsi="Arial"/>
      <w:szCs w:val="24"/>
    </w:rPr>
  </w:style>
  <w:style w:type="paragraph" w:customStyle="1" w:styleId="Bntextodsazen">
    <w:name w:val="Běžný text odsazený"/>
    <w:basedOn w:val="Normln"/>
    <w:rsid w:val="00781DB0"/>
    <w:pPr>
      <w:widowControl w:val="0"/>
      <w:spacing w:before="60" w:after="60"/>
      <w:ind w:left="851"/>
    </w:pPr>
  </w:style>
  <w:style w:type="paragraph" w:styleId="slovanseznam">
    <w:name w:val="List Number"/>
    <w:basedOn w:val="Normln"/>
    <w:rsid w:val="00781DB0"/>
    <w:pPr>
      <w:widowControl w:val="0"/>
      <w:tabs>
        <w:tab w:val="left" w:pos="357"/>
      </w:tabs>
      <w:ind w:left="357" w:hanging="357"/>
    </w:pPr>
  </w:style>
  <w:style w:type="character" w:customStyle="1" w:styleId="BntextChar">
    <w:name w:val="Běžný text Char"/>
    <w:link w:val="Bntext"/>
    <w:rsid w:val="00781DB0"/>
    <w:rPr>
      <w:rFonts w:ascii="Arial" w:hAnsi="Arial"/>
      <w:szCs w:val="24"/>
    </w:rPr>
  </w:style>
  <w:style w:type="paragraph" w:styleId="Textbubliny">
    <w:name w:val="Balloon Text"/>
    <w:basedOn w:val="Normln"/>
    <w:link w:val="TextbublinyChar"/>
    <w:rsid w:val="004C5B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4C5B22"/>
    <w:rPr>
      <w:rFonts w:ascii="Tahoma" w:hAnsi="Tahoma" w:cs="Tahoma"/>
      <w:sz w:val="16"/>
      <w:szCs w:val="16"/>
    </w:rPr>
  </w:style>
  <w:style w:type="paragraph" w:customStyle="1" w:styleId="Styl12">
    <w:name w:val="Styl 12"/>
    <w:basedOn w:val="Normln"/>
    <w:rsid w:val="00836DFF"/>
    <w:pPr>
      <w:keepLines/>
      <w:framePr w:hSpace="142" w:wrap="around" w:vAnchor="page" w:hAnchor="page" w:x="2252" w:y="7669"/>
      <w:widowControl w:val="0"/>
      <w:suppressOverlap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paragraph" w:customStyle="1" w:styleId="Styl14">
    <w:name w:val="Styl 14"/>
    <w:basedOn w:val="Normln"/>
    <w:pPr>
      <w:keepLines/>
      <w:widowControl w:val="0"/>
      <w:spacing w:before="100" w:after="100"/>
      <w:ind w:left="284" w:right="284"/>
    </w:pPr>
    <w:rPr>
      <w:sz w:val="28"/>
    </w:rPr>
  </w:style>
  <w:style w:type="paragraph" w:customStyle="1" w:styleId="Styl10">
    <w:name w:val="Styl 10"/>
    <w:basedOn w:val="Normln"/>
    <w:pPr>
      <w:widowControl w:val="0"/>
      <w:spacing w:before="100" w:after="100"/>
      <w:ind w:left="284" w:right="284"/>
    </w:pPr>
  </w:style>
  <w:style w:type="paragraph" w:customStyle="1" w:styleId="Bntext">
    <w:name w:val="Běžný text"/>
    <w:basedOn w:val="Normln"/>
    <w:link w:val="BntextChar"/>
    <w:pPr>
      <w:widowControl w:val="0"/>
      <w:spacing w:before="60" w:after="60"/>
      <w:jc w:val="both"/>
    </w:pPr>
  </w:style>
  <w:style w:type="paragraph" w:styleId="Zhlav">
    <w:name w:val="header"/>
    <w:basedOn w:val="Normln"/>
    <w:link w:val="ZhlavChar"/>
    <w:rsid w:val="005F51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F5148"/>
    <w:rPr>
      <w:rFonts w:ascii="Arial" w:hAnsi="Arial"/>
      <w:szCs w:val="24"/>
    </w:rPr>
  </w:style>
  <w:style w:type="paragraph" w:styleId="Zpat">
    <w:name w:val="footer"/>
    <w:basedOn w:val="Normln"/>
    <w:link w:val="ZpatChar"/>
    <w:rsid w:val="005F51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F5148"/>
    <w:rPr>
      <w:rFonts w:ascii="Arial" w:hAnsi="Arial"/>
      <w:szCs w:val="24"/>
    </w:rPr>
  </w:style>
  <w:style w:type="paragraph" w:customStyle="1" w:styleId="Bntextodsazen">
    <w:name w:val="Běžný text odsazený"/>
    <w:basedOn w:val="Normln"/>
    <w:rsid w:val="00781DB0"/>
    <w:pPr>
      <w:widowControl w:val="0"/>
      <w:spacing w:before="60" w:after="60"/>
      <w:ind w:left="851"/>
    </w:pPr>
  </w:style>
  <w:style w:type="paragraph" w:styleId="slovanseznam">
    <w:name w:val="List Number"/>
    <w:basedOn w:val="Normln"/>
    <w:rsid w:val="00781DB0"/>
    <w:pPr>
      <w:widowControl w:val="0"/>
      <w:tabs>
        <w:tab w:val="left" w:pos="357"/>
      </w:tabs>
      <w:ind w:left="357" w:hanging="357"/>
    </w:pPr>
  </w:style>
  <w:style w:type="character" w:customStyle="1" w:styleId="BntextChar">
    <w:name w:val="Běžný text Char"/>
    <w:link w:val="Bntext"/>
    <w:rsid w:val="00781DB0"/>
    <w:rPr>
      <w:rFonts w:ascii="Arial" w:hAnsi="Arial"/>
      <w:szCs w:val="24"/>
    </w:rPr>
  </w:style>
  <w:style w:type="paragraph" w:styleId="Textbubliny">
    <w:name w:val="Balloon Text"/>
    <w:basedOn w:val="Normln"/>
    <w:link w:val="TextbublinyChar"/>
    <w:rsid w:val="004C5B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4C5B22"/>
    <w:rPr>
      <w:rFonts w:ascii="Tahoma" w:hAnsi="Tahoma" w:cs="Tahoma"/>
      <w:sz w:val="16"/>
      <w:szCs w:val="16"/>
    </w:rPr>
  </w:style>
  <w:style w:type="paragraph" w:customStyle="1" w:styleId="Styl12">
    <w:name w:val="Styl 12"/>
    <w:basedOn w:val="Normln"/>
    <w:rsid w:val="00836DFF"/>
    <w:pPr>
      <w:keepLines/>
      <w:framePr w:hSpace="142" w:wrap="around" w:vAnchor="page" w:hAnchor="page" w:x="2252" w:y="7669"/>
      <w:widowControl w:val="0"/>
      <w:suppressOverlap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6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quatis.cz\dfs\applic\Sync\Microsoft\Office2010\Templates\Ostatni\CD_OBAL_CZ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CD_OBAL_CZ.dotx</Template>
  <TotalTime>2</TotalTime>
  <Pages>2</Pages>
  <Words>143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Dolezalova, Eva</dc:creator>
  <cp:lastModifiedBy>Dvorak, Zdenek</cp:lastModifiedBy>
  <cp:revision>4</cp:revision>
  <cp:lastPrinted>2016-07-28T06:10:00Z</cp:lastPrinted>
  <dcterms:created xsi:type="dcterms:W3CDTF">2016-07-07T09:34:00Z</dcterms:created>
  <dcterms:modified xsi:type="dcterms:W3CDTF">2016-07-28T06:10:00Z</dcterms:modified>
</cp:coreProperties>
</file>