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9F477F" w:rsidRPr="009F477F" w:rsidTr="003A68D3">
        <w:trPr>
          <w:trHeight w:val="13596"/>
        </w:trPr>
        <w:tc>
          <w:tcPr>
            <w:tcW w:w="10980" w:type="dxa"/>
          </w:tcPr>
          <w:p w:rsidR="009F477F" w:rsidRPr="009F477F" w:rsidRDefault="009F477F" w:rsidP="009F477F">
            <w:pPr>
              <w:rPr>
                <w:sz w:val="24"/>
                <w:szCs w:val="24"/>
              </w:rPr>
            </w:pPr>
            <w:bookmarkStart w:id="0" w:name="_Toc361403570"/>
          </w:p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9F477F" w:rsidRPr="009F477F" w:rsidTr="003A68D3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9F477F" w:rsidRPr="009F477F" w:rsidRDefault="009F477F" w:rsidP="009F477F">
                  <w:pPr>
                    <w:ind w:left="-51"/>
                    <w:rPr>
                      <w:sz w:val="24"/>
                      <w:szCs w:val="24"/>
                    </w:rPr>
                  </w:pPr>
                  <w:r w:rsidRPr="009F477F">
                    <w:rPr>
                      <w:sz w:val="24"/>
                      <w:szCs w:val="24"/>
                    </w:rPr>
                    <w:object w:dxaOrig="3180" w:dyaOrig="23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7" o:title=""/>
                      </v:shape>
                      <o:OLEObject Type="Embed" ProgID="PBrush" ShapeID="_x0000_i1025" DrawAspect="Content" ObjectID="_1592770603" r:id="rId8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9F477F" w:rsidRPr="009F477F" w:rsidRDefault="009F477F" w:rsidP="009F477F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keepNext/>
                    <w:jc w:val="center"/>
                    <w:outlineLvl w:val="0"/>
                    <w:rPr>
                      <w:rFonts w:ascii="Arial Narrow" w:hAnsi="Arial Narrow"/>
                      <w:b/>
                      <w:bCs/>
                      <w:sz w:val="64"/>
                      <w:szCs w:val="24"/>
                    </w:rPr>
                  </w:pPr>
                  <w:bookmarkStart w:id="1" w:name="_Toc450137492"/>
                  <w:proofErr w:type="spellStart"/>
                  <w:r w:rsidRPr="009F477F">
                    <w:rPr>
                      <w:rFonts w:ascii="Arial Narrow" w:hAnsi="Arial Narrow"/>
                      <w:b/>
                      <w:bCs/>
                      <w:sz w:val="64"/>
                      <w:szCs w:val="24"/>
                    </w:rPr>
                    <w:t>Legene</w:t>
                  </w:r>
                  <w:proofErr w:type="spellEnd"/>
                  <w:r w:rsidRPr="009F477F">
                    <w:rPr>
                      <w:rFonts w:ascii="Arial Narrow" w:hAnsi="Arial Narrow"/>
                      <w:b/>
                      <w:bCs/>
                      <w:sz w:val="64"/>
                      <w:szCs w:val="24"/>
                    </w:rPr>
                    <w:t xml:space="preserve"> s.r.o.</w:t>
                  </w:r>
                  <w:bookmarkEnd w:id="1"/>
                </w:p>
              </w:tc>
            </w:tr>
            <w:tr w:rsidR="009F477F" w:rsidRPr="009F477F" w:rsidTr="003A68D3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9F477F" w:rsidRPr="009F477F" w:rsidRDefault="009F477F" w:rsidP="009F477F">
                  <w:pPr>
                    <w:keepNext/>
                    <w:jc w:val="center"/>
                    <w:outlineLvl w:val="1"/>
                    <w:rPr>
                      <w:rFonts w:ascii="Arial Narrow" w:hAnsi="Arial Narrow"/>
                      <w:sz w:val="50"/>
                      <w:szCs w:val="24"/>
                    </w:rPr>
                  </w:pPr>
                  <w:bookmarkStart w:id="2" w:name="_Toc450137493"/>
                  <w:proofErr w:type="spellStart"/>
                  <w:r w:rsidRPr="009F477F">
                    <w:rPr>
                      <w:rFonts w:ascii="Arial Narrow" w:hAnsi="Arial Narrow"/>
                      <w:sz w:val="50"/>
                      <w:szCs w:val="24"/>
                    </w:rPr>
                    <w:t>Sicherova</w:t>
                  </w:r>
                  <w:proofErr w:type="spellEnd"/>
                  <w:r w:rsidRPr="009F477F">
                    <w:rPr>
                      <w:rFonts w:ascii="Arial Narrow" w:hAnsi="Arial Narrow"/>
                      <w:sz w:val="50"/>
                      <w:szCs w:val="24"/>
                    </w:rPr>
                    <w:t xml:space="preserve"> 1604/20, 198 00 Praha 9</w:t>
                  </w:r>
                  <w:bookmarkEnd w:id="2"/>
                </w:p>
              </w:tc>
            </w:tr>
            <w:tr w:rsidR="009F477F" w:rsidRPr="009F477F" w:rsidTr="003A68D3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9F477F" w:rsidRPr="009F477F" w:rsidRDefault="009F477F" w:rsidP="009F477F">
                  <w:pPr>
                    <w:keepNext/>
                    <w:jc w:val="center"/>
                    <w:outlineLvl w:val="2"/>
                    <w:rPr>
                      <w:rFonts w:ascii="Arial Narrow" w:hAnsi="Arial Narrow"/>
                      <w:b/>
                      <w:bCs/>
                      <w:sz w:val="72"/>
                      <w:szCs w:val="72"/>
                    </w:rPr>
                  </w:pPr>
                  <w:r w:rsidRPr="009F477F">
                    <w:rPr>
                      <w:rFonts w:ascii="Arial Narrow" w:hAnsi="Arial Narrow"/>
                      <w:b/>
                      <w:bCs/>
                      <w:sz w:val="72"/>
                      <w:szCs w:val="72"/>
                    </w:rPr>
                    <w:t>Projektová dokumentace</w:t>
                  </w:r>
                </w:p>
                <w:p w:rsidR="009F477F" w:rsidRPr="009F477F" w:rsidRDefault="00494FFA" w:rsidP="009F477F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DOS, DPS</w:t>
                  </w:r>
                </w:p>
              </w:tc>
            </w:tr>
            <w:tr w:rsidR="009F477F" w:rsidRPr="009F477F" w:rsidTr="003A68D3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Cs w:val="24"/>
                      <w:highlight w:val="magenta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Název stavby:</w:t>
                  </w:r>
                </w:p>
              </w:tc>
            </w:tr>
            <w:tr w:rsidR="009F477F" w:rsidRPr="009F477F" w:rsidTr="003A68D3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9F477F" w:rsidRPr="009F477F" w:rsidRDefault="00D12665" w:rsidP="00584289">
                  <w:pPr>
                    <w:keepNext/>
                    <w:jc w:val="center"/>
                    <w:outlineLvl w:val="3"/>
                    <w:rPr>
                      <w:rFonts w:ascii="Arial Narrow" w:hAnsi="Arial Narrow"/>
                      <w:b/>
                      <w:bCs/>
                      <w:sz w:val="50"/>
                      <w:szCs w:val="24"/>
                      <w:highlight w:val="magenta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Dřevnice</w:t>
                  </w:r>
                  <w:r w:rsidR="003A68D3" w:rsidRPr="00133359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,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Kašava </w:t>
                  </w:r>
                  <w:r w:rsidR="003A68D3" w:rsidRPr="00133359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ř. km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33,225</w:t>
                  </w:r>
                  <w:r w:rsidR="003A68D3" w:rsidRPr="00133359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 –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33,840</w:t>
                  </w:r>
                  <w:r w:rsidR="003A68D3" w:rsidRPr="00133359">
                    <w:rPr>
                      <w:rFonts w:ascii="Arial Narrow" w:hAnsi="Arial Narrow"/>
                      <w:b/>
                      <w:bCs/>
                      <w:sz w:val="50"/>
                    </w:rPr>
                    <w:t xml:space="preserve">, </w:t>
                  </w:r>
                  <w:r>
                    <w:rPr>
                      <w:rFonts w:ascii="Arial Narrow" w:hAnsi="Arial Narrow"/>
                      <w:b/>
                      <w:bCs/>
                      <w:sz w:val="50"/>
                    </w:rPr>
                    <w:t>odstranění nánosů oprava opevnění a stupňů</w:t>
                  </w:r>
                </w:p>
              </w:tc>
            </w:tr>
            <w:tr w:rsidR="009F477F" w:rsidRPr="009F477F" w:rsidTr="003A68D3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9F477F" w:rsidRPr="009F477F" w:rsidRDefault="009F477F" w:rsidP="009F477F">
                  <w:pPr>
                    <w:keepNext/>
                    <w:jc w:val="center"/>
                    <w:outlineLvl w:val="4"/>
                    <w:rPr>
                      <w:rFonts w:ascii="Arial Narrow" w:hAnsi="Arial Narrow"/>
                      <w:b/>
                      <w:bCs/>
                      <w:sz w:val="4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b/>
                      <w:bCs/>
                      <w:sz w:val="40"/>
                      <w:szCs w:val="24"/>
                    </w:rPr>
                    <w:t>E. Ostatní přílohy</w:t>
                  </w:r>
                  <w:r w:rsidRPr="009F477F" w:rsidDel="00635524">
                    <w:rPr>
                      <w:rFonts w:ascii="Arial Narrow" w:hAnsi="Arial Narrow"/>
                      <w:b/>
                      <w:bCs/>
                      <w:sz w:val="40"/>
                      <w:szCs w:val="24"/>
                    </w:rPr>
                    <w:t xml:space="preserve"> </w:t>
                  </w:r>
                </w:p>
              </w:tc>
            </w:tr>
            <w:tr w:rsidR="009F477F" w:rsidRPr="009F477F" w:rsidTr="003A68D3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F477F" w:rsidRPr="009F477F" w:rsidRDefault="00CD4F43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>
                    <w:rPr>
                      <w:sz w:val="44"/>
                      <w:szCs w:val="44"/>
                    </w:rPr>
                    <w:t>E.3</w:t>
                  </w:r>
                  <w:r w:rsidR="009F477F" w:rsidRPr="009F477F">
                    <w:rPr>
                      <w:sz w:val="44"/>
                      <w:szCs w:val="44"/>
                    </w:rPr>
                    <w:t xml:space="preserve"> – </w:t>
                  </w:r>
                  <w:r>
                    <w:rPr>
                      <w:sz w:val="44"/>
                      <w:szCs w:val="44"/>
                    </w:rPr>
                    <w:t>HAVARIJNÍ PLÁN</w:t>
                  </w: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</w:p>
              </w:tc>
            </w:tr>
            <w:tr w:rsidR="009F477F" w:rsidRPr="009F477F" w:rsidTr="003A68D3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9F477F" w:rsidRPr="009F477F" w:rsidRDefault="009F477F" w:rsidP="009F477F">
                  <w:pPr>
                    <w:rPr>
                      <w:rFonts w:ascii="Arial Narrow" w:hAnsi="Arial Narrow"/>
                      <w:sz w:val="24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Datum zpracování projektové dokumentace:</w:t>
                  </w:r>
                </w:p>
              </w:tc>
            </w:tr>
            <w:tr w:rsidR="003A68D3" w:rsidRPr="009F477F" w:rsidTr="003A68D3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3A68D3" w:rsidRPr="0048354D" w:rsidRDefault="00D12665" w:rsidP="003A68D3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</w:t>
                  </w:r>
                  <w:r w:rsidR="003A68D3">
                    <w:rPr>
                      <w:rFonts w:ascii="Arial Narrow" w:hAnsi="Arial Narrow"/>
                      <w:b/>
                      <w:sz w:val="28"/>
                      <w:szCs w:val="28"/>
                    </w:rPr>
                    <w:t>5</w:t>
                  </w:r>
                  <w:r w:rsidR="003A68D3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3A68D3" w:rsidRPr="0048354D" w:rsidRDefault="00D12665" w:rsidP="003A68D3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3A68D3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3A68D3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3A68D3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3A68D3" w:rsidRPr="009F477F" w:rsidTr="003A68D3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3A68D3" w:rsidRPr="0048354D" w:rsidRDefault="003A68D3" w:rsidP="003A68D3">
                  <w:pPr>
                    <w:rPr>
                      <w:rFonts w:ascii="Arial Narrow" w:hAnsi="Arial Narrow"/>
                    </w:rPr>
                  </w:pPr>
                  <w:r w:rsidRPr="0048354D">
                    <w:rPr>
                      <w:rFonts w:ascii="Arial Narrow" w:hAnsi="Arial Narrow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3A68D3" w:rsidRPr="0048354D" w:rsidRDefault="003A68D3" w:rsidP="003A68D3">
                  <w:pPr>
                    <w:rPr>
                      <w:rFonts w:ascii="Arial Narrow" w:hAnsi="Arial Narrow"/>
                    </w:rPr>
                  </w:pPr>
                  <w:r w:rsidRPr="0048354D">
                    <w:rPr>
                      <w:rFonts w:ascii="Arial Narrow" w:hAnsi="Arial Narrow"/>
                    </w:rPr>
                    <w:t>Kraj:</w:t>
                  </w:r>
                </w:p>
              </w:tc>
            </w:tr>
            <w:tr w:rsidR="003A68D3" w:rsidRPr="009F477F" w:rsidTr="003A68D3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3A68D3" w:rsidRPr="0048354D" w:rsidRDefault="00D12665" w:rsidP="003A68D3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3A68D3" w:rsidRPr="0048354D" w:rsidRDefault="00D12665" w:rsidP="003A68D3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EF43D5" w:rsidRPr="009F477F" w:rsidTr="003A68D3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Adresa:</w:t>
                  </w:r>
                </w:p>
              </w:tc>
            </w:tr>
            <w:tr w:rsidR="00EF43D5" w:rsidRPr="009F477F" w:rsidTr="003A68D3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b/>
                      <w:sz w:val="3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b/>
                      <w:sz w:val="30"/>
                      <w:szCs w:val="24"/>
                    </w:rPr>
                    <w:t xml:space="preserve">Povodí Moravy, </w:t>
                  </w:r>
                  <w:proofErr w:type="spellStart"/>
                  <w:r w:rsidRPr="009F477F">
                    <w:rPr>
                      <w:rFonts w:ascii="Arial Narrow" w:hAnsi="Arial Narrow"/>
                      <w:b/>
                      <w:sz w:val="30"/>
                      <w:szCs w:val="24"/>
                    </w:rPr>
                    <w:t>s.p</w:t>
                  </w:r>
                  <w:proofErr w:type="spellEnd"/>
                  <w:r w:rsidRPr="009F477F">
                    <w:rPr>
                      <w:rFonts w:ascii="Arial Narrow" w:hAnsi="Arial Narrow"/>
                      <w:b/>
                      <w:sz w:val="30"/>
                      <w:szCs w:val="24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b/>
                      <w:sz w:val="3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b/>
                      <w:sz w:val="30"/>
                      <w:szCs w:val="24"/>
                    </w:rPr>
                    <w:t>Dřevařská 11, 602 00 Brno</w:t>
                  </w:r>
                </w:p>
              </w:tc>
            </w:tr>
            <w:tr w:rsidR="00EF43D5" w:rsidRPr="009F477F" w:rsidTr="003A68D3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Cs w:val="24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EF43D5" w:rsidRPr="009F477F" w:rsidRDefault="00EF43D5" w:rsidP="00EF43D5">
                  <w:pPr>
                    <w:rPr>
                      <w:rFonts w:ascii="Arial Narrow" w:hAnsi="Arial Narrow"/>
                      <w:szCs w:val="24"/>
                    </w:rPr>
                  </w:pPr>
                  <w:proofErr w:type="spellStart"/>
                  <w:r w:rsidRPr="009F477F">
                    <w:rPr>
                      <w:rFonts w:ascii="Arial Narrow" w:hAnsi="Arial Narrow"/>
                      <w:szCs w:val="24"/>
                    </w:rPr>
                    <w:t>Paré</w:t>
                  </w:r>
                  <w:proofErr w:type="spellEnd"/>
                  <w:r w:rsidRPr="009F477F">
                    <w:rPr>
                      <w:rFonts w:ascii="Arial Narrow" w:hAnsi="Arial Narrow"/>
                      <w:szCs w:val="24"/>
                    </w:rPr>
                    <w:t xml:space="preserve"> č.:</w:t>
                  </w:r>
                </w:p>
              </w:tc>
            </w:tr>
            <w:tr w:rsidR="00EF43D5" w:rsidRPr="009F477F" w:rsidTr="003A68D3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sz w:val="3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 w:val="30"/>
                      <w:szCs w:val="24"/>
                    </w:rPr>
                    <w:t xml:space="preserve">Ing. Tomáš </w:t>
                  </w:r>
                  <w:r w:rsidR="00D12665">
                    <w:rPr>
                      <w:rFonts w:ascii="Arial Narrow" w:hAnsi="Arial Narrow"/>
                      <w:sz w:val="30"/>
                      <w:szCs w:val="24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</w:rPr>
                  </w:pPr>
                </w:p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sz w:val="3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 w:val="30"/>
                      <w:szCs w:val="24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szCs w:val="24"/>
                    </w:rPr>
                  </w:pPr>
                </w:p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sz w:val="30"/>
                      <w:szCs w:val="24"/>
                    </w:rPr>
                  </w:pPr>
                  <w:r w:rsidRPr="009F477F">
                    <w:rPr>
                      <w:rFonts w:ascii="Arial Narrow" w:hAnsi="Arial Narrow"/>
                      <w:sz w:val="30"/>
                      <w:szCs w:val="24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sz w:val="6"/>
                      <w:szCs w:val="24"/>
                    </w:rPr>
                  </w:pPr>
                </w:p>
                <w:p w:rsidR="00EF43D5" w:rsidRPr="009F477F" w:rsidRDefault="00EF43D5" w:rsidP="00EF43D5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  <w:szCs w:val="24"/>
                    </w:rPr>
                  </w:pPr>
                </w:p>
              </w:tc>
            </w:tr>
          </w:tbl>
          <w:p w:rsidR="009F477F" w:rsidRPr="009F477F" w:rsidRDefault="009F477F" w:rsidP="009F477F">
            <w:pPr>
              <w:rPr>
                <w:sz w:val="24"/>
                <w:szCs w:val="24"/>
              </w:rPr>
            </w:pPr>
          </w:p>
        </w:tc>
      </w:tr>
    </w:tbl>
    <w:p w:rsidR="009F477F" w:rsidRDefault="009F477F" w:rsidP="00E14EBD">
      <w:pPr>
        <w:jc w:val="center"/>
        <w:rPr>
          <w:b/>
          <w:sz w:val="28"/>
          <w:szCs w:val="28"/>
          <w:u w:val="single"/>
        </w:rPr>
      </w:pPr>
    </w:p>
    <w:p w:rsidR="00E66DDF" w:rsidRDefault="00E66DDF" w:rsidP="00584289">
      <w:pPr>
        <w:jc w:val="center"/>
        <w:rPr>
          <w:b/>
          <w:sz w:val="28"/>
          <w:szCs w:val="28"/>
          <w:u w:val="single"/>
        </w:rPr>
      </w:pPr>
      <w:r w:rsidRPr="002F09D4">
        <w:rPr>
          <w:b/>
          <w:sz w:val="28"/>
          <w:szCs w:val="28"/>
          <w:u w:val="single"/>
        </w:rPr>
        <w:lastRenderedPageBreak/>
        <w:t>Havarijní plán</w:t>
      </w:r>
      <w:bookmarkEnd w:id="0"/>
      <w:r>
        <w:rPr>
          <w:b/>
          <w:sz w:val="28"/>
          <w:szCs w:val="28"/>
          <w:u w:val="single"/>
        </w:rPr>
        <w:t xml:space="preserve"> pro stavbu </w:t>
      </w:r>
      <w:r w:rsidR="00E64053" w:rsidRPr="00E64053">
        <w:rPr>
          <w:b/>
          <w:sz w:val="28"/>
          <w:szCs w:val="28"/>
          <w:u w:val="single"/>
        </w:rPr>
        <w:t>„</w:t>
      </w:r>
      <w:r w:rsidR="00561539">
        <w:rPr>
          <w:b/>
          <w:sz w:val="28"/>
          <w:szCs w:val="28"/>
          <w:u w:val="single"/>
        </w:rPr>
        <w:t>Dřevnice</w:t>
      </w:r>
      <w:r w:rsidR="003A68D3" w:rsidRPr="003A68D3">
        <w:rPr>
          <w:b/>
          <w:sz w:val="28"/>
          <w:szCs w:val="28"/>
          <w:u w:val="single"/>
        </w:rPr>
        <w:t xml:space="preserve">, </w:t>
      </w:r>
      <w:r w:rsidR="00561539">
        <w:rPr>
          <w:b/>
          <w:sz w:val="28"/>
          <w:szCs w:val="28"/>
          <w:u w:val="single"/>
        </w:rPr>
        <w:t xml:space="preserve">Kašava </w:t>
      </w:r>
      <w:r w:rsidR="003A68D3" w:rsidRPr="003A68D3">
        <w:rPr>
          <w:b/>
          <w:sz w:val="28"/>
          <w:szCs w:val="28"/>
          <w:u w:val="single"/>
        </w:rPr>
        <w:t xml:space="preserve">ř. km </w:t>
      </w:r>
      <w:r w:rsidR="00561539">
        <w:rPr>
          <w:b/>
          <w:sz w:val="28"/>
          <w:szCs w:val="28"/>
          <w:u w:val="single"/>
        </w:rPr>
        <w:t>33,225</w:t>
      </w:r>
      <w:r w:rsidR="003A68D3" w:rsidRPr="003A68D3">
        <w:rPr>
          <w:b/>
          <w:sz w:val="28"/>
          <w:szCs w:val="28"/>
          <w:u w:val="single"/>
        </w:rPr>
        <w:t xml:space="preserve"> – </w:t>
      </w:r>
      <w:r w:rsidR="00561539">
        <w:rPr>
          <w:b/>
          <w:sz w:val="28"/>
          <w:szCs w:val="28"/>
          <w:u w:val="single"/>
        </w:rPr>
        <w:t>33,840</w:t>
      </w:r>
      <w:r w:rsidR="003A68D3" w:rsidRPr="003A68D3">
        <w:rPr>
          <w:b/>
          <w:sz w:val="28"/>
          <w:szCs w:val="28"/>
          <w:u w:val="single"/>
        </w:rPr>
        <w:t>,</w:t>
      </w:r>
      <w:r w:rsidR="00561539">
        <w:rPr>
          <w:b/>
          <w:sz w:val="28"/>
          <w:szCs w:val="28"/>
          <w:u w:val="single"/>
        </w:rPr>
        <w:t xml:space="preserve"> odstranění nánosů oprava opevnění a stupňů</w:t>
      </w:r>
      <w:r w:rsidR="00E64053" w:rsidRPr="00E64053">
        <w:rPr>
          <w:b/>
          <w:sz w:val="28"/>
          <w:szCs w:val="28"/>
          <w:u w:val="single"/>
        </w:rPr>
        <w:t>“</w:t>
      </w:r>
    </w:p>
    <w:p w:rsidR="00E66DDF" w:rsidRDefault="00E66DDF" w:rsidP="00E14EBD">
      <w:pPr>
        <w:jc w:val="center"/>
        <w:rPr>
          <w:sz w:val="26"/>
          <w:szCs w:val="26"/>
        </w:rPr>
      </w:pPr>
    </w:p>
    <w:p w:rsidR="00E66DDF" w:rsidRPr="007C3860" w:rsidRDefault="00E66DDF" w:rsidP="00B46AC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Použité právní předpisy</w:t>
      </w:r>
    </w:p>
    <w:p w:rsidR="00E66DDF" w:rsidRDefault="00E66DDF" w:rsidP="00B46AC1">
      <w:pPr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E66DDF" w:rsidRDefault="00E66DDF" w:rsidP="00C207E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Zákon č. 150/2010 Sb. o vodách a o změně některých zákonů (vodní zákon)</w:t>
      </w:r>
      <w:r>
        <w:rPr>
          <w:sz w:val="24"/>
          <w:szCs w:val="24"/>
        </w:rPr>
        <w:t xml:space="preserve">. </w:t>
      </w:r>
      <w:r w:rsidRPr="007C3860">
        <w:rPr>
          <w:sz w:val="24"/>
          <w:szCs w:val="24"/>
        </w:rPr>
        <w:t>Nařízení vlády 61/2003 Sb. Ve znění NV 229/2007 Sb., jímž se stanoví ukazatelé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přípustného stupně znečištění vod</w:t>
      </w:r>
      <w:r>
        <w:rPr>
          <w:sz w:val="24"/>
          <w:szCs w:val="24"/>
        </w:rPr>
        <w:t>.</w:t>
      </w:r>
    </w:p>
    <w:p w:rsidR="00E66DDF" w:rsidRPr="007C3860" w:rsidRDefault="00E66DDF" w:rsidP="00B46AC1">
      <w:pPr>
        <w:autoSpaceDE w:val="0"/>
        <w:autoSpaceDN w:val="0"/>
        <w:adjustRightInd w:val="0"/>
        <w:rPr>
          <w:sz w:val="24"/>
          <w:szCs w:val="24"/>
        </w:rPr>
      </w:pPr>
    </w:p>
    <w:p w:rsidR="00E66DDF" w:rsidRDefault="00E66DDF" w:rsidP="00B46AC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Definice závadných látek a havárie</w:t>
      </w:r>
    </w:p>
    <w:p w:rsidR="00E66DDF" w:rsidRPr="007C3860" w:rsidRDefault="00E66DDF" w:rsidP="00B46AC1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B46AC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Závadné látky podle §39 zákona č. 150/2010 Sb. jsou látky, které nejsou odpadními ani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důlními vodami a které mohou ohrozit jakost povrchových nebo podzemních vod.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Havárií podle §40 zákona č. 150/2010 Sb. je mimořádné závažné zhoršení nebo mimořádné</w:t>
      </w:r>
      <w:r>
        <w:rPr>
          <w:sz w:val="24"/>
          <w:szCs w:val="24"/>
        </w:rPr>
        <w:t xml:space="preserve"> závažné </w:t>
      </w:r>
      <w:r w:rsidRPr="007C3860">
        <w:rPr>
          <w:sz w:val="24"/>
          <w:szCs w:val="24"/>
        </w:rPr>
        <w:t>ohrožení jakosti povrchových nebo podzemních vod. Za havárii se vždy považují případy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závažného zhoršení nebo mimořádného ohrožení jakosti povrchových nebo podzemních vod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ropnými látkami, zvlášť nebezpečnými látkami, popřípadě radioaktivními zářič</w:t>
      </w:r>
      <w:r>
        <w:rPr>
          <w:sz w:val="24"/>
          <w:szCs w:val="24"/>
        </w:rPr>
        <w:t xml:space="preserve">i a </w:t>
      </w:r>
      <w:r w:rsidRPr="007C3860">
        <w:rPr>
          <w:sz w:val="24"/>
          <w:szCs w:val="24"/>
        </w:rPr>
        <w:t>radioaktivními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odpady, nebo dojde-li ke zhoršení nebo ohrožení jakosti povrchových nebo podzemních vod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v chráněných oblastech přirozené </w:t>
      </w:r>
      <w:r>
        <w:rPr>
          <w:sz w:val="24"/>
          <w:szCs w:val="24"/>
        </w:rPr>
        <w:t xml:space="preserve">akumulace vod nebo v ochranných </w:t>
      </w:r>
      <w:r w:rsidRPr="007C3860">
        <w:rPr>
          <w:sz w:val="24"/>
          <w:szCs w:val="24"/>
        </w:rPr>
        <w:t>pásmech vodních zdrojů. Dále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se za havárii považují pří</w:t>
      </w:r>
      <w:r>
        <w:rPr>
          <w:sz w:val="24"/>
          <w:szCs w:val="24"/>
        </w:rPr>
        <w:t xml:space="preserve">pady technických poruch a závad </w:t>
      </w:r>
      <w:r w:rsidRPr="007C3860">
        <w:rPr>
          <w:sz w:val="24"/>
          <w:szCs w:val="24"/>
        </w:rPr>
        <w:t>zařízení k zachycování, skladování,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dopravě a odkládání látek uvedených v předchozí větě, pokud takovému vniknutí předcházejí.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O havárii nejde v těch př</w:t>
      </w:r>
      <w:r>
        <w:rPr>
          <w:sz w:val="24"/>
          <w:szCs w:val="24"/>
        </w:rPr>
        <w:t xml:space="preserve">ípadech, kdy vzhledem k </w:t>
      </w:r>
      <w:r w:rsidRPr="007C3860">
        <w:rPr>
          <w:sz w:val="24"/>
          <w:szCs w:val="24"/>
        </w:rPr>
        <w:t>rozsahu a místu úniku je vyloučeno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nebezpečí vniknutí závadných látek do povrchových a podzemních vod.</w:t>
      </w:r>
    </w:p>
    <w:p w:rsidR="00E66DDF" w:rsidRDefault="00E66DDF" w:rsidP="00396D06">
      <w:pPr>
        <w:rPr>
          <w:sz w:val="26"/>
          <w:szCs w:val="26"/>
        </w:rPr>
      </w:pPr>
    </w:p>
    <w:p w:rsidR="00E66DDF" w:rsidRDefault="00E66DDF" w:rsidP="00DB3AC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Základní údaje o stavbě, charakteristika území, podmínky stavby</w:t>
      </w:r>
    </w:p>
    <w:p w:rsidR="00E66DDF" w:rsidRDefault="00E66DDF" w:rsidP="00396D06">
      <w:pPr>
        <w:rPr>
          <w:b/>
          <w:sz w:val="26"/>
          <w:szCs w:val="26"/>
        </w:rPr>
      </w:pPr>
    </w:p>
    <w:p w:rsidR="002C437D" w:rsidRDefault="0076546D" w:rsidP="00584289">
      <w:p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3A68D3" w:rsidRPr="003A68D3">
        <w:rPr>
          <w:sz w:val="24"/>
          <w:szCs w:val="24"/>
        </w:rPr>
        <w:t xml:space="preserve">odní tok </w:t>
      </w:r>
      <w:r>
        <w:rPr>
          <w:sz w:val="24"/>
          <w:szCs w:val="24"/>
        </w:rPr>
        <w:t>Dřevnice</w:t>
      </w:r>
      <w:r w:rsidR="003A68D3" w:rsidRPr="003A68D3">
        <w:rPr>
          <w:sz w:val="24"/>
          <w:szCs w:val="24"/>
        </w:rPr>
        <w:t xml:space="preserve"> protéká obcí </w:t>
      </w:r>
      <w:r>
        <w:rPr>
          <w:sz w:val="24"/>
          <w:szCs w:val="24"/>
        </w:rPr>
        <w:t>Kašava</w:t>
      </w:r>
      <w:r w:rsidR="003A68D3" w:rsidRPr="003A68D3">
        <w:rPr>
          <w:sz w:val="24"/>
          <w:szCs w:val="24"/>
        </w:rPr>
        <w:t xml:space="preserve"> a je levostranným přítokem </w:t>
      </w:r>
      <w:r>
        <w:rPr>
          <w:sz w:val="24"/>
          <w:szCs w:val="24"/>
        </w:rPr>
        <w:t>řeky Moravy</w:t>
      </w:r>
      <w:r w:rsidR="003A68D3" w:rsidRPr="003A68D3">
        <w:rPr>
          <w:sz w:val="24"/>
          <w:szCs w:val="24"/>
        </w:rPr>
        <w:t xml:space="preserve">. Správcem toku (investorem) – Povodí Moravy, </w:t>
      </w:r>
      <w:proofErr w:type="spellStart"/>
      <w:r w:rsidR="003A68D3" w:rsidRPr="003A68D3">
        <w:rPr>
          <w:sz w:val="24"/>
          <w:szCs w:val="24"/>
        </w:rPr>
        <w:t>s.p</w:t>
      </w:r>
      <w:proofErr w:type="spellEnd"/>
      <w:r w:rsidR="003A68D3" w:rsidRPr="003A68D3">
        <w:rPr>
          <w:sz w:val="24"/>
          <w:szCs w:val="24"/>
        </w:rPr>
        <w:t xml:space="preserve">. – bylo zadáno zpracování projektové dokumentace, která řeší návrh opravy koryta z důvodu nevyhovujícího stavu </w:t>
      </w:r>
      <w:r>
        <w:rPr>
          <w:sz w:val="24"/>
          <w:szCs w:val="24"/>
        </w:rPr>
        <w:t xml:space="preserve">opevnění a odstranění nánosů </w:t>
      </w:r>
      <w:r w:rsidR="003A68D3" w:rsidRPr="003A68D3">
        <w:rPr>
          <w:sz w:val="24"/>
          <w:szCs w:val="24"/>
        </w:rPr>
        <w:t xml:space="preserve">v ř. km </w:t>
      </w:r>
      <w:r>
        <w:rPr>
          <w:sz w:val="24"/>
          <w:szCs w:val="24"/>
        </w:rPr>
        <w:t>33,225</w:t>
      </w:r>
      <w:r w:rsidR="003A68D3" w:rsidRPr="003A68D3">
        <w:rPr>
          <w:sz w:val="24"/>
          <w:szCs w:val="24"/>
        </w:rPr>
        <w:t xml:space="preserve"> – </w:t>
      </w:r>
      <w:r>
        <w:rPr>
          <w:sz w:val="24"/>
          <w:szCs w:val="24"/>
        </w:rPr>
        <w:t>33,840</w:t>
      </w:r>
      <w:r w:rsidR="003A68D3" w:rsidRPr="003A68D3">
        <w:rPr>
          <w:sz w:val="24"/>
          <w:szCs w:val="24"/>
        </w:rPr>
        <w:t xml:space="preserve">. Zájmová lokalita plánované údržby se nachází v intravilánu obce </w:t>
      </w:r>
      <w:r>
        <w:rPr>
          <w:sz w:val="24"/>
          <w:szCs w:val="24"/>
        </w:rPr>
        <w:t>Kašava</w:t>
      </w:r>
      <w:r w:rsidR="003A68D3" w:rsidRPr="003A68D3">
        <w:rPr>
          <w:sz w:val="24"/>
          <w:szCs w:val="24"/>
        </w:rPr>
        <w:t xml:space="preserve"> v nadmořské výšce </w:t>
      </w:r>
      <w:proofErr w:type="gramStart"/>
      <w:r>
        <w:rPr>
          <w:sz w:val="24"/>
          <w:szCs w:val="24"/>
        </w:rPr>
        <w:t>325</w:t>
      </w:r>
      <w:r w:rsidR="003A68D3" w:rsidRPr="003A68D3">
        <w:rPr>
          <w:sz w:val="24"/>
          <w:szCs w:val="24"/>
        </w:rPr>
        <w:t xml:space="preserve"> - </w:t>
      </w:r>
      <w:r>
        <w:rPr>
          <w:sz w:val="24"/>
          <w:szCs w:val="24"/>
        </w:rPr>
        <w:t>337</w:t>
      </w:r>
      <w:proofErr w:type="gramEnd"/>
      <w:r w:rsidR="003A68D3" w:rsidRPr="003A68D3">
        <w:rPr>
          <w:sz w:val="24"/>
          <w:szCs w:val="24"/>
        </w:rPr>
        <w:t xml:space="preserve"> m n.m.</w:t>
      </w:r>
    </w:p>
    <w:p w:rsidR="005349E3" w:rsidRDefault="005349E3" w:rsidP="00DB3AC7">
      <w:pPr>
        <w:jc w:val="both"/>
        <w:rPr>
          <w:sz w:val="26"/>
        </w:rPr>
      </w:pPr>
    </w:p>
    <w:p w:rsidR="00E66DDF" w:rsidRPr="007C3860" w:rsidRDefault="00E66DDF" w:rsidP="00DB3AC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Stručný popis stavby, předpoklad používání závadných látek, odvodnění stavby</w:t>
      </w:r>
    </w:p>
    <w:p w:rsidR="00E66DDF" w:rsidRDefault="00E66DDF" w:rsidP="00DB3AC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E66DDF" w:rsidRDefault="00C22700" w:rsidP="0058428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Style w:val="fontstyle01"/>
        </w:rPr>
        <w:t>V rámci stavby bude provedena stabilizace koryta a obnovení průtočnosti. Bude se provádět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>odtěžení sedimentů, odstranění náletových dřevin a stromů v korytě toku a oprava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 xml:space="preserve">poškozeného koryta toku. V místech břehových </w:t>
      </w:r>
      <w:proofErr w:type="spellStart"/>
      <w:r>
        <w:rPr>
          <w:rStyle w:val="fontstyle01"/>
        </w:rPr>
        <w:t>nátrží</w:t>
      </w:r>
      <w:proofErr w:type="spellEnd"/>
      <w:r>
        <w:rPr>
          <w:rStyle w:val="fontstyle01"/>
        </w:rPr>
        <w:t xml:space="preserve"> bude provedeno opevnění kamennou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>rovnaninou. Původní mostky budou zachovány v současném stavu. Stávající kamenná</w:t>
      </w:r>
      <w:r>
        <w:rPr>
          <w:rFonts w:ascii="TimesNewRoman" w:hAnsi="TimesNewRoman"/>
          <w:color w:val="000000"/>
        </w:rPr>
        <w:br/>
      </w:r>
      <w:r>
        <w:rPr>
          <w:rStyle w:val="fontstyle01"/>
        </w:rPr>
        <w:t>dlažba a dnové stupně budou v celé ploše očištěny tlakovou vodou a přespárovány</w:t>
      </w:r>
      <w:r w:rsidR="00E66DDF" w:rsidRPr="005A6BA6">
        <w:rPr>
          <w:sz w:val="24"/>
          <w:szCs w:val="24"/>
        </w:rPr>
        <w:t xml:space="preserve">. </w:t>
      </w:r>
    </w:p>
    <w:p w:rsidR="00E66DDF" w:rsidRDefault="00E66DDF" w:rsidP="005A6BA6">
      <w:pPr>
        <w:jc w:val="both"/>
        <w:rPr>
          <w:sz w:val="24"/>
          <w:szCs w:val="24"/>
        </w:rPr>
      </w:pPr>
    </w:p>
    <w:p w:rsidR="00E66DDF" w:rsidRPr="007C3860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Technické zabezpečení stavby (popis zařízení staveniště, ukládání závadných látek,</w:t>
      </w:r>
    </w:p>
    <w:p w:rsidR="00E66DDF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předpoklad použití dopravních prostředků a mechanizace)</w:t>
      </w:r>
    </w:p>
    <w:p w:rsidR="00E66DDF" w:rsidRPr="007C3860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6307A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Na stavbě se bude nacházet pouze materiál, který lze v případě potřeby přemístit. Dále zde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bude použita kolová mechanizace, kterou lze v nutném případě z místa odvést. Ropné látky se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nesmí ukládat v blízkosti vodoteče. Na stavbě bude připraven materiál proti rozšíření ropných skvrn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na vodoteči, bude upřesněno místo uložení </w:t>
      </w:r>
      <w:r>
        <w:rPr>
          <w:sz w:val="24"/>
          <w:szCs w:val="24"/>
        </w:rPr>
        <w:t xml:space="preserve">kontaminované zeminy před jejím </w:t>
      </w:r>
      <w:r w:rsidRPr="007C3860">
        <w:rPr>
          <w:sz w:val="24"/>
          <w:szCs w:val="24"/>
        </w:rPr>
        <w:t>odvezením.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Při </w:t>
      </w:r>
      <w:r>
        <w:rPr>
          <w:sz w:val="24"/>
          <w:szCs w:val="24"/>
        </w:rPr>
        <w:t>provádění stavby</w:t>
      </w:r>
      <w:r w:rsidRPr="007C3860">
        <w:rPr>
          <w:sz w:val="24"/>
          <w:szCs w:val="24"/>
        </w:rPr>
        <w:t xml:space="preserve"> budou dodrženy následující podmínky:</w:t>
      </w:r>
    </w:p>
    <w:p w:rsidR="00E66DDF" w:rsidRDefault="00E66DDF" w:rsidP="00762C91">
      <w:pPr>
        <w:jc w:val="both"/>
        <w:rPr>
          <w:sz w:val="24"/>
          <w:szCs w:val="24"/>
        </w:rPr>
      </w:pPr>
      <w:r>
        <w:rPr>
          <w:sz w:val="24"/>
          <w:szCs w:val="24"/>
        </w:rPr>
        <w:t>- zařízení staveniště nebude situováno v blízkosti VT</w:t>
      </w:r>
    </w:p>
    <w:p w:rsidR="00E66DDF" w:rsidRDefault="00E66DDF" w:rsidP="00762C9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stavbou nesmí dojít ke znečištění povrchových nebo podzemních vod, k ohrožení jejich jakosti nedovoleným nakládáním se závadnými látkami. Závadné látky, lehce odplavitelný materiál ani stavební odpad nebudou volně skladovány na břehu ani v blízkosti vodního toku.</w:t>
      </w:r>
    </w:p>
    <w:p w:rsidR="00E66DDF" w:rsidRDefault="00E66DDF" w:rsidP="00762C91">
      <w:pPr>
        <w:jc w:val="both"/>
        <w:rPr>
          <w:sz w:val="24"/>
          <w:szCs w:val="24"/>
        </w:rPr>
      </w:pPr>
      <w:r>
        <w:rPr>
          <w:sz w:val="24"/>
          <w:szCs w:val="24"/>
        </w:rPr>
        <w:t>- transport splavenin a event. úkapů ropných látek z dopravních prostředků a stavebních mechanizmů doporučujeme eliminovat osazením norné stěny</w:t>
      </w:r>
    </w:p>
    <w:p w:rsidR="00E66DDF" w:rsidRDefault="00E66DDF" w:rsidP="00762C91">
      <w:pPr>
        <w:jc w:val="both"/>
        <w:rPr>
          <w:sz w:val="24"/>
          <w:szCs w:val="24"/>
        </w:rPr>
      </w:pPr>
      <w:r>
        <w:rPr>
          <w:sz w:val="24"/>
          <w:szCs w:val="24"/>
        </w:rPr>
        <w:t>- dopravní prostředky a stavební mechanizmy budou na pracovišti ve vzorném technickém stavu. Při použití strojů s hydraulikou musí být použito náplní z biologicky odbouratelných olejů.</w:t>
      </w:r>
    </w:p>
    <w:p w:rsidR="00E66DDF" w:rsidRDefault="00E66DDF" w:rsidP="00762C91">
      <w:pPr>
        <w:jc w:val="both"/>
        <w:rPr>
          <w:sz w:val="24"/>
          <w:szCs w:val="24"/>
        </w:rPr>
      </w:pPr>
      <w:r>
        <w:rPr>
          <w:sz w:val="24"/>
          <w:szCs w:val="24"/>
        </w:rPr>
        <w:t>- stroje a dopravní prostředky nebudou v blízkosti potoka parkovány, opravovány a doplňovány pohonnými hmotami.</w:t>
      </w:r>
    </w:p>
    <w:p w:rsidR="00E66DDF" w:rsidRDefault="00E66DDF" w:rsidP="006307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Předepsané omezení používání závadných látek</w:t>
      </w:r>
    </w:p>
    <w:p w:rsidR="00E66DDF" w:rsidRPr="007C3860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6307A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Na stavbě se předpokládá používání ropy a ropných látek, jejichž používání lze částečně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nahradit </w:t>
      </w:r>
      <w:r w:rsidR="008258D9">
        <w:rPr>
          <w:sz w:val="24"/>
          <w:szCs w:val="24"/>
        </w:rPr>
        <w:t>používáním ekologických výrobků</w:t>
      </w:r>
      <w:r w:rsidRPr="007C3860">
        <w:rPr>
          <w:sz w:val="24"/>
          <w:szCs w:val="24"/>
        </w:rPr>
        <w:t>. Na stavbě smí být použity pouze certifikované výrobky</w:t>
      </w:r>
      <w:r>
        <w:rPr>
          <w:sz w:val="24"/>
          <w:szCs w:val="24"/>
        </w:rPr>
        <w:t xml:space="preserve"> s uvedením klasifikace podle </w:t>
      </w:r>
      <w:r w:rsidRPr="007C3860">
        <w:rPr>
          <w:sz w:val="24"/>
          <w:szCs w:val="24"/>
        </w:rPr>
        <w:t>z.</w:t>
      </w:r>
      <w:r w:rsidR="002C437D"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č.</w:t>
      </w:r>
      <w:r w:rsidR="002C437D"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356/2003 Sb. a způsobu manipulace a likvidace těchto látek.</w:t>
      </w:r>
    </w:p>
    <w:p w:rsidR="00E66DDF" w:rsidRDefault="00E66DDF" w:rsidP="006307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Zabezpečení území výstavby (úprava zařízení staveniště, úpravy odvodnění stavby)</w:t>
      </w:r>
    </w:p>
    <w:p w:rsidR="00E66DDF" w:rsidRPr="007C3860" w:rsidRDefault="00E66DDF" w:rsidP="006307AA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6307A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B583C">
        <w:rPr>
          <w:sz w:val="24"/>
          <w:szCs w:val="24"/>
        </w:rPr>
        <w:t>Na ploše</w:t>
      </w:r>
      <w:r>
        <w:rPr>
          <w:sz w:val="24"/>
          <w:szCs w:val="24"/>
        </w:rPr>
        <w:t xml:space="preserve"> zařízení staveniště</w:t>
      </w:r>
      <w:r w:rsidRPr="008B583C">
        <w:rPr>
          <w:sz w:val="24"/>
          <w:szCs w:val="24"/>
        </w:rPr>
        <w:t xml:space="preserve"> budou umístěny provizorní objekty pro nejnutnější </w:t>
      </w:r>
      <w:r w:rsidRPr="00762C91">
        <w:rPr>
          <w:sz w:val="24"/>
          <w:szCs w:val="24"/>
        </w:rPr>
        <w:t>sociálně provozní zázemí stavby, sklad materiálu a nářadí. Při dodržení ustanovení</w:t>
      </w:r>
      <w:r w:rsidRPr="008B583C">
        <w:rPr>
          <w:sz w:val="24"/>
          <w:szCs w:val="24"/>
        </w:rPr>
        <w:t xml:space="preserve"> následujícího článku není nutné provádět úpravu zařízení staveniště. Staveniště nebude připojeno na kanalizační síť, bude použito chemické WC. Dešťové vody se odvedou do okolního terénu</w:t>
      </w:r>
      <w:r>
        <w:rPr>
          <w:sz w:val="24"/>
          <w:szCs w:val="24"/>
        </w:rPr>
        <w:t>. V</w:t>
      </w:r>
      <w:r w:rsidRPr="008B583C">
        <w:rPr>
          <w:sz w:val="24"/>
          <w:szCs w:val="24"/>
        </w:rPr>
        <w:t>ody znečištěné závadnými látkami nesmí být do okolního terénu ani do vodoteče vypouštěny.</w:t>
      </w:r>
    </w:p>
    <w:p w:rsidR="00E66DDF" w:rsidRDefault="00E66DDF" w:rsidP="006307A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Pokyny pro manipulace se závadnými látkami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Na staveništi je nutné maximálně omezit manipulaci se závadnými látkami. Tankování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pohonnými hmotami bude probíhat u čerpacích stanic (veřejných nebo firemních), v</w:t>
      </w:r>
      <w:r>
        <w:rPr>
          <w:sz w:val="24"/>
          <w:szCs w:val="24"/>
        </w:rPr>
        <w:t> </w:t>
      </w:r>
      <w:r w:rsidRPr="007C3860">
        <w:rPr>
          <w:sz w:val="24"/>
          <w:szCs w:val="24"/>
        </w:rPr>
        <w:t>žádném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případě nesmí docházet k doplňování pohonných hmot na staveništi. Manipulace s mazivy ve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stavebních strojích bude probíhat výhradně na místech k tomu urč</w:t>
      </w:r>
      <w:r>
        <w:rPr>
          <w:sz w:val="24"/>
          <w:szCs w:val="24"/>
        </w:rPr>
        <w:t xml:space="preserve">ených mimo staveniště. Sanační </w:t>
      </w:r>
      <w:r w:rsidRPr="007C3860">
        <w:rPr>
          <w:sz w:val="24"/>
          <w:szCs w:val="24"/>
        </w:rPr>
        <w:t>materiály budou uskladněny na suchém místě způsobem, znemožňujícím jejich únik do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povrchových vod nebo půdy. Práce s těmi</w:t>
      </w:r>
      <w:r>
        <w:rPr>
          <w:sz w:val="24"/>
          <w:szCs w:val="24"/>
        </w:rPr>
        <w:t xml:space="preserve">to materiály smí provádět pouze </w:t>
      </w:r>
      <w:r w:rsidRPr="007C3860">
        <w:rPr>
          <w:sz w:val="24"/>
          <w:szCs w:val="24"/>
        </w:rPr>
        <w:t>způsobilí pracovníci.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Pro manipulaci s ostatními závadnými látkami platí ustanovení na obalu.</w:t>
      </w:r>
    </w:p>
    <w:p w:rsidR="00E66DDF" w:rsidRDefault="00E66DDF" w:rsidP="006307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Pokyny pro provoz dopravních prostředků a mechanizace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Ve stavebních mechanizmech budou použity ek</w:t>
      </w:r>
      <w:r>
        <w:rPr>
          <w:sz w:val="24"/>
          <w:szCs w:val="24"/>
        </w:rPr>
        <w:t xml:space="preserve">ologické pohonné hmoty a mazací </w:t>
      </w:r>
      <w:r w:rsidRPr="007C3860">
        <w:rPr>
          <w:sz w:val="24"/>
          <w:szCs w:val="24"/>
        </w:rPr>
        <w:t>oleje.</w:t>
      </w:r>
      <w:r>
        <w:rPr>
          <w:sz w:val="24"/>
          <w:szCs w:val="24"/>
        </w:rPr>
        <w:t xml:space="preserve"> Parkující s</w:t>
      </w:r>
      <w:r w:rsidRPr="007C3860">
        <w:rPr>
          <w:sz w:val="24"/>
          <w:szCs w:val="24"/>
        </w:rPr>
        <w:t>tavební mechanizmy budou zajištěny proti ú</w:t>
      </w:r>
      <w:r>
        <w:rPr>
          <w:sz w:val="24"/>
          <w:szCs w:val="24"/>
        </w:rPr>
        <w:t xml:space="preserve">kapům záchytnými </w:t>
      </w:r>
      <w:r w:rsidRPr="007C3860">
        <w:rPr>
          <w:sz w:val="24"/>
          <w:szCs w:val="24"/>
        </w:rPr>
        <w:t>vaničkami.</w:t>
      </w:r>
    </w:p>
    <w:p w:rsidR="00E66DDF" w:rsidRDefault="00E66DDF" w:rsidP="006307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Možnosti vzniku havárie, možné následky, ohrožená a nebezpečná místa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Havarijní plán vychází ze skutečnosti, že v místě staveniště nebudou volně uloženy ani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uskladněny žádné látky, které by mohly ohrozit jakost </w:t>
      </w:r>
      <w:proofErr w:type="gramStart"/>
      <w:r w:rsidRPr="007C3860">
        <w:rPr>
          <w:sz w:val="24"/>
          <w:szCs w:val="24"/>
        </w:rPr>
        <w:t>vod</w:t>
      </w:r>
      <w:proofErr w:type="gramEnd"/>
      <w:r w:rsidRPr="007C3860">
        <w:rPr>
          <w:sz w:val="24"/>
          <w:szCs w:val="24"/>
        </w:rPr>
        <w:t xml:space="preserve"> a to jak v pří</w:t>
      </w:r>
      <w:r>
        <w:rPr>
          <w:sz w:val="24"/>
          <w:szCs w:val="24"/>
        </w:rPr>
        <w:t xml:space="preserve">padě přívalových </w:t>
      </w:r>
      <w:r w:rsidRPr="007C3860">
        <w:rPr>
          <w:sz w:val="24"/>
          <w:szCs w:val="24"/>
        </w:rPr>
        <w:t>srážek, tak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průsakem do spodních vod.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Rovněž nesmí být v prostoru staveniště prováděna žádná další manipulace s těmito látkami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(přečerpávání, plnění apod.).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Jedinými zdroji znečištění jsou používané stavební stroje a mechanizmy (automobily,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nakladače, bagry, jeřáby, kompresory apod.). U těchto mechanizmů může dojít k úniku ropných</w:t>
      </w:r>
      <w:r>
        <w:rPr>
          <w:sz w:val="24"/>
          <w:szCs w:val="24"/>
        </w:rPr>
        <w:t xml:space="preserve"> nebo jiných </w:t>
      </w:r>
      <w:r w:rsidRPr="007C3860">
        <w:rPr>
          <w:sz w:val="24"/>
          <w:szCs w:val="24"/>
        </w:rPr>
        <w:t>škodlivých látek, zejména při jejich poškození v důsledku nehody, špatným technickým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stavem nebo v důsledku špatné činnosti, případně funkčnosti řízení. Je žádoucí, aby u těchto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mechanizmů byla tlaková hydraulická souprava plněna pouze ekologickým olejem, který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neohrožuje nezávadnost vod.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V </w:t>
      </w:r>
      <w:r w:rsidRPr="007C3860">
        <w:rPr>
          <w:sz w:val="24"/>
          <w:szCs w:val="24"/>
        </w:rPr>
        <w:lastRenderedPageBreak/>
        <w:t>těchto případech se jedná o omezené množství škodlivých látek, které je přesně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definované obsahem nádrže nebo rozvodů.</w:t>
      </w:r>
    </w:p>
    <w:p w:rsidR="00E66DDF" w:rsidRDefault="00E66DDF" w:rsidP="006307A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Bezprostřední opatření po vzniku havárie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7C3860" w:rsidRDefault="00E66DDF" w:rsidP="00225A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Původce havárie nebo ten, kdo havárii zjistí je povinen realizovat bezprostřední (okamžitá)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opatření k jejich zneškodnění: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okamžité odstranění jejich příčin (okamžitě zamezit úniku všemi dostupnými prostředky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a zachytit unikající látky, utěsnit poškozené spoje a části, stáčet do nádob apod. a odstranit zdroj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znečištění na bezpečné místo),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okamžité nahlášení havárie příslušnému vodohospodářskému orgánu,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eliminaci, resp. minimalizování škodlivých následků ha</w:t>
      </w:r>
      <w:r>
        <w:rPr>
          <w:sz w:val="24"/>
          <w:szCs w:val="24"/>
        </w:rPr>
        <w:t xml:space="preserve">várie (zamezit odtoku a svedení </w:t>
      </w:r>
      <w:r w:rsidRPr="007C3860">
        <w:rPr>
          <w:sz w:val="24"/>
          <w:szCs w:val="24"/>
        </w:rPr>
        <w:t>uniklých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látek do vodního toku, případně zachytit z</w:t>
      </w:r>
      <w:r>
        <w:rPr>
          <w:sz w:val="24"/>
          <w:szCs w:val="24"/>
        </w:rPr>
        <w:t xml:space="preserve">asaženou vodu nornými stěnami a </w:t>
      </w:r>
      <w:r w:rsidRPr="007C3860">
        <w:rPr>
          <w:sz w:val="24"/>
          <w:szCs w:val="24"/>
        </w:rPr>
        <w:t>posypem VAPEX).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Následná opatření a preventivní opatření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Následná opatření, to je opatření k odstranění škodlivých následků havárie, spočívají v: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odstranění nebo zneškodnění uniklých látek (odstranit znečištěnou vodu nebo zeminu a převézt ji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na bezpečné místo nebo k likvidaci; </w:t>
      </w:r>
      <w:r w:rsidRPr="007C3860">
        <w:rPr>
          <w:i/>
          <w:iCs/>
          <w:sz w:val="24"/>
          <w:szCs w:val="24"/>
        </w:rPr>
        <w:t>bezpečné místo bude určeno před zahájením stavby</w:t>
      </w:r>
      <w:r>
        <w:rPr>
          <w:sz w:val="24"/>
          <w:szCs w:val="24"/>
        </w:rPr>
        <w:t xml:space="preserve"> </w:t>
      </w:r>
      <w:r w:rsidRPr="007C3860">
        <w:rPr>
          <w:i/>
          <w:iCs/>
          <w:sz w:val="24"/>
          <w:szCs w:val="24"/>
        </w:rPr>
        <w:t>a odsouhlaseno OHS</w:t>
      </w:r>
      <w:r w:rsidRPr="007C3860">
        <w:rPr>
          <w:sz w:val="24"/>
          <w:szCs w:val="24"/>
        </w:rPr>
        <w:t>),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dalším sledováni jakosti ohrožené vody, monitoring kvality vod,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uvedení místa havárie do původního stavu.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Likvidace a sanační prostředky (prostředky k zneškodnění havárie „havarijní souprava“)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7C3860">
        <w:rPr>
          <w:b/>
          <w:bCs/>
          <w:i/>
          <w:iCs/>
          <w:sz w:val="24"/>
          <w:szCs w:val="24"/>
        </w:rPr>
        <w:t>Likvidace havarijního úniku škodlivých látek na volném prostranství a do půdy</w:t>
      </w:r>
    </w:p>
    <w:p w:rsidR="00E66DDF" w:rsidRDefault="00E66DDF" w:rsidP="00225A27">
      <w:pPr>
        <w:autoSpaceDE w:val="0"/>
        <w:autoSpaceDN w:val="0"/>
        <w:adjustRightInd w:val="0"/>
        <w:rPr>
          <w:sz w:val="24"/>
          <w:szCs w:val="24"/>
        </w:rPr>
      </w:pPr>
    </w:p>
    <w:p w:rsidR="00E66DDF" w:rsidRPr="007C3860" w:rsidRDefault="00E66DDF" w:rsidP="00225A27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Pracovník, který zpozoruje nebo způsobí únik látek škodlivých vodám, provede ihned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opatření k odstranění příčiny úniku přivoláním potřebného počtu pracovníků.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Je nutno zejména provést tato opatření: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Zabránit dalšímu vytékání škodlivých látek, zachycení vytékajících látek do nádob, zamezení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úniku do toku nebo okolního terénu.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 xml:space="preserve">- Provést posyp škodlivých látek </w:t>
      </w:r>
      <w:proofErr w:type="spellStart"/>
      <w:r w:rsidRPr="007C3860">
        <w:rPr>
          <w:sz w:val="24"/>
          <w:szCs w:val="24"/>
        </w:rPr>
        <w:t>absorbčními</w:t>
      </w:r>
      <w:proofErr w:type="spellEnd"/>
      <w:r w:rsidRPr="007C3860">
        <w:rPr>
          <w:sz w:val="24"/>
          <w:szCs w:val="24"/>
        </w:rPr>
        <w:t xml:space="preserve"> materiály.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O havárii uvědomit svého vedoucího, ten uvědomí ihned</w:t>
      </w:r>
      <w:r>
        <w:rPr>
          <w:sz w:val="24"/>
          <w:szCs w:val="24"/>
        </w:rPr>
        <w:t xml:space="preserve"> ostatní odpovědné osoby včetně </w:t>
      </w:r>
      <w:r w:rsidRPr="007C3860">
        <w:rPr>
          <w:sz w:val="24"/>
          <w:szCs w:val="24"/>
        </w:rPr>
        <w:t>ředitele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firmy a osoby, které jsou uvedeny v plánu vyrozumění.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Volné škodlivé látky sesbírat do nádob a odevzdat do výkupu či zlikvidovat společně dle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následujícího bodu.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Po vsáknutí škodlivých látek do absorpčních materiálů provést jejich likvidaci spálením ve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spalovnách zajišťujících minimální teplotu </w:t>
      </w:r>
      <w:proofErr w:type="gramStart"/>
      <w:r w:rsidRPr="007C3860">
        <w:rPr>
          <w:sz w:val="24"/>
          <w:szCs w:val="24"/>
        </w:rPr>
        <w:t>1200°C</w:t>
      </w:r>
      <w:proofErr w:type="gramEnd"/>
      <w:r w:rsidRPr="007C3860">
        <w:rPr>
          <w:sz w:val="24"/>
          <w:szCs w:val="24"/>
        </w:rPr>
        <w:t xml:space="preserve"> a min. zdržení v souladu se zákonem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o ochraně ovzduší č.86/2002 Sb. včetně souvisejících norem a předpisů.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Stanovit rozsah kontaminované zeminy. Rozsah kontaminace je nutno posoudit dle souboru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normativních hodnot přípustné kontaminace zemin</w:t>
      </w:r>
      <w:r>
        <w:rPr>
          <w:sz w:val="24"/>
          <w:szCs w:val="24"/>
        </w:rPr>
        <w:t xml:space="preserve">y vydaného MŽP jako příl.č.2 </w:t>
      </w:r>
      <w:r w:rsidRPr="007C3860">
        <w:rPr>
          <w:sz w:val="24"/>
          <w:szCs w:val="24"/>
        </w:rPr>
        <w:t>Metodického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pokynu ministerstva pro správu národního majetku a jeho privatizaci a MŽP ČR ze dne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18.5.1992 k zabezpečení par. </w:t>
      </w:r>
      <w:proofErr w:type="gramStart"/>
      <w:r w:rsidRPr="007C3860">
        <w:rPr>
          <w:sz w:val="24"/>
          <w:szCs w:val="24"/>
        </w:rPr>
        <w:t>6a</w:t>
      </w:r>
      <w:proofErr w:type="gramEnd"/>
      <w:r w:rsidRPr="007C3860">
        <w:rPr>
          <w:sz w:val="24"/>
          <w:szCs w:val="24"/>
        </w:rPr>
        <w:t xml:space="preserve"> zákona č.92/1992</w:t>
      </w:r>
      <w:r>
        <w:rPr>
          <w:sz w:val="24"/>
          <w:szCs w:val="24"/>
        </w:rPr>
        <w:t xml:space="preserve"> Sb., kterým se mění a doplňuje </w:t>
      </w:r>
      <w:r w:rsidRPr="007C3860">
        <w:rPr>
          <w:sz w:val="24"/>
          <w:szCs w:val="24"/>
        </w:rPr>
        <w:t>zákon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č.92/1991 Sb.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 xml:space="preserve">- Provést asanaci </w:t>
      </w:r>
      <w:proofErr w:type="gramStart"/>
      <w:r w:rsidRPr="007C3860">
        <w:rPr>
          <w:sz w:val="24"/>
          <w:szCs w:val="24"/>
        </w:rPr>
        <w:t>zeminy - biodegradací</w:t>
      </w:r>
      <w:proofErr w:type="gramEnd"/>
      <w:r w:rsidRPr="007C3860">
        <w:rPr>
          <w:sz w:val="24"/>
          <w:szCs w:val="24"/>
        </w:rPr>
        <w:t xml:space="preserve"> nebo </w:t>
      </w:r>
      <w:proofErr w:type="spellStart"/>
      <w:r w:rsidRPr="007C3860">
        <w:rPr>
          <w:sz w:val="24"/>
          <w:szCs w:val="24"/>
        </w:rPr>
        <w:t>soldifikací</w:t>
      </w:r>
      <w:proofErr w:type="spellEnd"/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Provést posouzení kvality vody z hlediska ropných látek.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Provést úpravy terénu v souladu s ČSN 733050 Zemní práce.</w:t>
      </w:r>
    </w:p>
    <w:p w:rsidR="0067294A" w:rsidRDefault="0067294A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225A27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7C3860">
        <w:rPr>
          <w:b/>
          <w:bCs/>
          <w:i/>
          <w:iCs/>
          <w:sz w:val="24"/>
          <w:szCs w:val="24"/>
        </w:rPr>
        <w:lastRenderedPageBreak/>
        <w:t>Likvidace ropných látek při úniku do toku</w:t>
      </w:r>
    </w:p>
    <w:p w:rsidR="00E66DDF" w:rsidRPr="007C3860" w:rsidRDefault="00E66DDF" w:rsidP="00225A27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 xml:space="preserve">- Při úniku škodlivin do vodoteče bude používán vlákenný a textilní materiál </w:t>
      </w:r>
      <w:proofErr w:type="spellStart"/>
      <w:r w:rsidRPr="007C3860">
        <w:rPr>
          <w:sz w:val="24"/>
          <w:szCs w:val="24"/>
        </w:rPr>
        <w:t>Fibroil</w:t>
      </w:r>
      <w:proofErr w:type="spellEnd"/>
      <w:r w:rsidRPr="007C3860">
        <w:rPr>
          <w:sz w:val="24"/>
          <w:szCs w:val="24"/>
        </w:rPr>
        <w:t xml:space="preserve"> </w:t>
      </w:r>
      <w:r w:rsidR="002C437D" w:rsidRPr="007C3860">
        <w:rPr>
          <w:sz w:val="24"/>
          <w:szCs w:val="24"/>
        </w:rPr>
        <w:t xml:space="preserve">jako </w:t>
      </w:r>
      <w:r w:rsidR="002C437D">
        <w:rPr>
          <w:sz w:val="24"/>
          <w:szCs w:val="24"/>
        </w:rPr>
        <w:t>speciální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 xml:space="preserve">norná stěna a vlákenný pramen </w:t>
      </w:r>
      <w:proofErr w:type="spellStart"/>
      <w:r w:rsidRPr="007C3860">
        <w:rPr>
          <w:sz w:val="24"/>
          <w:szCs w:val="24"/>
        </w:rPr>
        <w:t>Fibroil</w:t>
      </w:r>
      <w:proofErr w:type="spellEnd"/>
      <w:r w:rsidRPr="007C3860">
        <w:rPr>
          <w:sz w:val="24"/>
          <w:szCs w:val="24"/>
        </w:rPr>
        <w:t xml:space="preserve"> k odebrání ropných látek z hladiny před nornou stěnou.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Po zjištění škodlivých látek v toku budou bezodkladně pr</w:t>
      </w:r>
      <w:r>
        <w:rPr>
          <w:sz w:val="24"/>
          <w:szCs w:val="24"/>
        </w:rPr>
        <w:t xml:space="preserve">ovedena opatření pro odstranění </w:t>
      </w:r>
      <w:r w:rsidRPr="007C3860">
        <w:rPr>
          <w:sz w:val="24"/>
          <w:szCs w:val="24"/>
        </w:rPr>
        <w:t>látek z</w:t>
      </w:r>
      <w:r>
        <w:rPr>
          <w:sz w:val="24"/>
          <w:szCs w:val="24"/>
        </w:rPr>
        <w:t xml:space="preserve"> </w:t>
      </w:r>
      <w:proofErr w:type="gramStart"/>
      <w:r w:rsidRPr="007C3860">
        <w:rPr>
          <w:sz w:val="24"/>
          <w:szCs w:val="24"/>
        </w:rPr>
        <w:t>toku</w:t>
      </w:r>
      <w:proofErr w:type="gramEnd"/>
      <w:r w:rsidRPr="007C3860">
        <w:rPr>
          <w:sz w:val="24"/>
          <w:szCs w:val="24"/>
        </w:rPr>
        <w:t xml:space="preserve"> tj. osazení připravené norné stěny, která je v pří</w:t>
      </w:r>
      <w:r>
        <w:rPr>
          <w:sz w:val="24"/>
          <w:szCs w:val="24"/>
        </w:rPr>
        <w:t xml:space="preserve">padě použití </w:t>
      </w:r>
      <w:proofErr w:type="spellStart"/>
      <w:r>
        <w:rPr>
          <w:sz w:val="24"/>
          <w:szCs w:val="24"/>
        </w:rPr>
        <w:t>Fibroilu</w:t>
      </w:r>
      <w:proofErr w:type="spellEnd"/>
      <w:r>
        <w:rPr>
          <w:sz w:val="24"/>
          <w:szCs w:val="24"/>
        </w:rPr>
        <w:t xml:space="preserve"> zároveň i </w:t>
      </w:r>
      <w:r w:rsidRPr="007C3860">
        <w:rPr>
          <w:sz w:val="24"/>
          <w:szCs w:val="24"/>
        </w:rPr>
        <w:t>sorbentem.</w:t>
      </w:r>
    </w:p>
    <w:p w:rsidR="00E66DDF" w:rsidRPr="007C3860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- Následuje uvědomění osob dle plánu vyrozumění.</w:t>
      </w:r>
    </w:p>
    <w:p w:rsidR="00E66DDF" w:rsidRDefault="00E66DDF" w:rsidP="00225A2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4B491E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  <w:r w:rsidRPr="007C3860">
        <w:rPr>
          <w:b/>
          <w:bCs/>
          <w:i/>
          <w:iCs/>
          <w:sz w:val="24"/>
          <w:szCs w:val="24"/>
        </w:rPr>
        <w:t>Sanační prostředky</w:t>
      </w:r>
    </w:p>
    <w:p w:rsidR="00E66DDF" w:rsidRPr="007C3860" w:rsidRDefault="00E66DDF" w:rsidP="004B491E">
      <w:pPr>
        <w:autoSpaceDE w:val="0"/>
        <w:autoSpaceDN w:val="0"/>
        <w:adjustRightInd w:val="0"/>
        <w:rPr>
          <w:b/>
          <w:bCs/>
          <w:i/>
          <w:iCs/>
          <w:sz w:val="24"/>
          <w:szCs w:val="24"/>
        </w:rPr>
      </w:pPr>
    </w:p>
    <w:p w:rsidR="00E66DDF" w:rsidRDefault="00E66DDF" w:rsidP="00647B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Minimální výbavu likvidačními a sanačními pros</w:t>
      </w:r>
      <w:r>
        <w:rPr>
          <w:sz w:val="24"/>
          <w:szCs w:val="24"/>
        </w:rPr>
        <w:t xml:space="preserve">tředky tvoří základní havarijním </w:t>
      </w:r>
      <w:r w:rsidRPr="007C3860">
        <w:rPr>
          <w:sz w:val="24"/>
          <w:szCs w:val="24"/>
        </w:rPr>
        <w:t>souprava.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Havarijní soupravu nelze použít k jinému účelu než</w:t>
      </w:r>
      <w:r>
        <w:rPr>
          <w:sz w:val="24"/>
          <w:szCs w:val="24"/>
        </w:rPr>
        <w:t xml:space="preserve"> k likvidaci havarijních stavů, </w:t>
      </w:r>
      <w:r w:rsidRPr="007C3860">
        <w:rPr>
          <w:sz w:val="24"/>
          <w:szCs w:val="24"/>
        </w:rPr>
        <w:t>stanoví se osobní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zodpovědnost za úplnost, dostupnost a způsob uložení soupravy.</w:t>
      </w:r>
      <w:r>
        <w:rPr>
          <w:sz w:val="24"/>
          <w:szCs w:val="24"/>
        </w:rPr>
        <w:t xml:space="preserve"> </w:t>
      </w:r>
    </w:p>
    <w:p w:rsidR="00E66DDF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Základní zásady pro uložení havarijní soupravy: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uzavřený prostor chráněný před deštěm, v případě potřeby snadno dostupný</w:t>
      </w:r>
    </w:p>
    <w:p w:rsidR="00E66DDF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Doporučený obsah havarijní soupravy: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olejové sorbety k zachycení ropných látek – práškové (</w:t>
      </w:r>
      <w:proofErr w:type="spellStart"/>
      <w:r w:rsidRPr="007C3860">
        <w:rPr>
          <w:sz w:val="24"/>
          <w:szCs w:val="24"/>
        </w:rPr>
        <w:t>Vapex</w:t>
      </w:r>
      <w:proofErr w:type="spellEnd"/>
      <w:r w:rsidRPr="007C3860">
        <w:rPr>
          <w:sz w:val="24"/>
          <w:szCs w:val="24"/>
        </w:rPr>
        <w:t>) nebo vlákenné (</w:t>
      </w:r>
      <w:proofErr w:type="spellStart"/>
      <w:r w:rsidRPr="007C3860">
        <w:rPr>
          <w:sz w:val="24"/>
          <w:szCs w:val="24"/>
        </w:rPr>
        <w:t>Fibroil</w:t>
      </w:r>
      <w:proofErr w:type="spellEnd"/>
      <w:r w:rsidRPr="007C3860">
        <w:rPr>
          <w:sz w:val="24"/>
          <w:szCs w:val="24"/>
        </w:rPr>
        <w:t>)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univerzální sorbety (suché těžené kamenivo apod.)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nádoby a obaly na sběr uniklých látek a použitých sorbetů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nářadí pro práci se dřevem a ruční nářadí na zemní práce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prkna a trámky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plastové fólie a pytle</w:t>
      </w:r>
    </w:p>
    <w:p w:rsidR="00E66DDF" w:rsidRPr="007C3860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osobní ochranné prostředky</w:t>
      </w:r>
    </w:p>
    <w:p w:rsidR="00E66DDF" w:rsidRDefault="00E66DDF" w:rsidP="004B491E">
      <w:pPr>
        <w:autoSpaceDE w:val="0"/>
        <w:autoSpaceDN w:val="0"/>
        <w:adjustRightInd w:val="0"/>
        <w:rPr>
          <w:sz w:val="24"/>
          <w:szCs w:val="24"/>
        </w:rPr>
      </w:pPr>
      <w:r w:rsidRPr="007C3860">
        <w:rPr>
          <w:sz w:val="24"/>
          <w:szCs w:val="24"/>
        </w:rPr>
        <w:t>- náhradní zdroj osvětlení</w:t>
      </w:r>
    </w:p>
    <w:p w:rsidR="00E66DDF" w:rsidRDefault="00E66DDF" w:rsidP="006307AA">
      <w:pPr>
        <w:jc w:val="both"/>
        <w:rPr>
          <w:b/>
          <w:sz w:val="26"/>
          <w:szCs w:val="26"/>
        </w:rPr>
      </w:pPr>
    </w:p>
    <w:p w:rsidR="00E66DDF" w:rsidRDefault="00E66DDF" w:rsidP="003A23A1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7C3860">
        <w:rPr>
          <w:b/>
          <w:bCs/>
          <w:sz w:val="24"/>
          <w:szCs w:val="24"/>
        </w:rPr>
        <w:t>Ohlašovací povinnost a plán vyrozumění</w:t>
      </w:r>
    </w:p>
    <w:p w:rsidR="00E66DDF" w:rsidRPr="007C3860" w:rsidRDefault="00E66DDF" w:rsidP="003A23A1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7C3860" w:rsidRDefault="00E66DDF" w:rsidP="003A23A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C3860">
        <w:rPr>
          <w:sz w:val="24"/>
          <w:szCs w:val="24"/>
        </w:rPr>
        <w:t>Kdo způsobí nebo zjistí havárii, je povinen ji neprodleně hlásit Hasičskému záchrannému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sboru České republiky nebo jednotkám požární ochran</w:t>
      </w:r>
      <w:r>
        <w:rPr>
          <w:sz w:val="24"/>
          <w:szCs w:val="24"/>
        </w:rPr>
        <w:t xml:space="preserve">y nebo Policii České republiky, </w:t>
      </w:r>
      <w:r w:rsidRPr="007C3860">
        <w:rPr>
          <w:sz w:val="24"/>
          <w:szCs w:val="24"/>
        </w:rPr>
        <w:t>případně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správci povodí.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Hasičský záchranný sbor České republiky, Policie České republiky a správce povodí jsou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povinni neprodleně informovat o jim nahlášené havárii příslušný vodoprávní úřad a Českou</w:t>
      </w:r>
      <w:r>
        <w:rPr>
          <w:sz w:val="24"/>
          <w:szCs w:val="24"/>
        </w:rPr>
        <w:t xml:space="preserve"> </w:t>
      </w:r>
      <w:r w:rsidRPr="007C3860">
        <w:rPr>
          <w:sz w:val="24"/>
          <w:szCs w:val="24"/>
        </w:rPr>
        <w:t>inspekci životního prostředí.</w:t>
      </w:r>
      <w:r>
        <w:rPr>
          <w:sz w:val="24"/>
          <w:szCs w:val="24"/>
        </w:rPr>
        <w:t xml:space="preserve"> Řízení prací při zneškodňování </w:t>
      </w:r>
      <w:r w:rsidRPr="007C3860">
        <w:rPr>
          <w:sz w:val="24"/>
          <w:szCs w:val="24"/>
        </w:rPr>
        <w:t>havárií přísluší vodoprávnímu úřadu.</w:t>
      </w:r>
    </w:p>
    <w:p w:rsidR="00E66DDF" w:rsidRDefault="00E66DDF" w:rsidP="003A23A1">
      <w:pPr>
        <w:autoSpaceDE w:val="0"/>
        <w:autoSpaceDN w:val="0"/>
        <w:adjustRightInd w:val="0"/>
        <w:rPr>
          <w:sz w:val="24"/>
          <w:szCs w:val="24"/>
        </w:rPr>
      </w:pPr>
    </w:p>
    <w:p w:rsidR="00E66DDF" w:rsidRDefault="00E66DDF" w:rsidP="003A23A1">
      <w:pPr>
        <w:jc w:val="both"/>
        <w:rPr>
          <w:sz w:val="24"/>
          <w:szCs w:val="24"/>
        </w:rPr>
      </w:pPr>
      <w:r w:rsidRPr="007C3860">
        <w:rPr>
          <w:sz w:val="24"/>
          <w:szCs w:val="24"/>
        </w:rPr>
        <w:t>V případě havárie je stavbyvedoucí povinen vše ihned oznámit na</w:t>
      </w:r>
      <w:r>
        <w:rPr>
          <w:sz w:val="24"/>
          <w:szCs w:val="24"/>
        </w:rPr>
        <w:t>:</w:t>
      </w:r>
    </w:p>
    <w:p w:rsidR="00E66DDF" w:rsidRDefault="00E66DDF" w:rsidP="00762C91">
      <w:pPr>
        <w:tabs>
          <w:tab w:val="left" w:pos="426"/>
          <w:tab w:val="left" w:pos="6804"/>
        </w:tabs>
        <w:rPr>
          <w:sz w:val="24"/>
          <w:szCs w:val="24"/>
        </w:rPr>
      </w:pPr>
      <w:r w:rsidRPr="00762C91">
        <w:rPr>
          <w:sz w:val="24"/>
          <w:szCs w:val="24"/>
        </w:rPr>
        <w:tab/>
      </w:r>
    </w:p>
    <w:p w:rsidR="00E66DDF" w:rsidRPr="00100FC8" w:rsidRDefault="00E66DDF" w:rsidP="00513061">
      <w:pPr>
        <w:tabs>
          <w:tab w:val="left" w:pos="426"/>
          <w:tab w:val="left" w:pos="6237"/>
        </w:tabs>
        <w:rPr>
          <w:sz w:val="24"/>
          <w:szCs w:val="24"/>
        </w:rPr>
      </w:pPr>
      <w:r w:rsidRPr="00E87461">
        <w:rPr>
          <w:sz w:val="24"/>
          <w:szCs w:val="24"/>
        </w:rPr>
        <w:tab/>
      </w:r>
      <w:r w:rsidRPr="00100FC8">
        <w:rPr>
          <w:sz w:val="24"/>
          <w:szCs w:val="24"/>
        </w:rPr>
        <w:t>Hasičský záchranný sbor</w:t>
      </w:r>
      <w:r w:rsidRPr="00100FC8">
        <w:rPr>
          <w:sz w:val="24"/>
          <w:szCs w:val="24"/>
        </w:rPr>
        <w:tab/>
        <w:t>150</w:t>
      </w:r>
    </w:p>
    <w:p w:rsidR="00513061" w:rsidRDefault="00E66DDF" w:rsidP="00513061">
      <w:pPr>
        <w:tabs>
          <w:tab w:val="left" w:pos="426"/>
          <w:tab w:val="left" w:pos="6237"/>
        </w:tabs>
        <w:rPr>
          <w:sz w:val="24"/>
          <w:szCs w:val="24"/>
        </w:rPr>
      </w:pPr>
      <w:r w:rsidRPr="00100FC8">
        <w:rPr>
          <w:sz w:val="24"/>
          <w:szCs w:val="24"/>
        </w:rPr>
        <w:tab/>
      </w:r>
      <w:r w:rsidR="00513061">
        <w:rPr>
          <w:sz w:val="24"/>
          <w:szCs w:val="24"/>
        </w:rPr>
        <w:t xml:space="preserve">MÚ </w:t>
      </w:r>
      <w:r w:rsidR="0067294A">
        <w:rPr>
          <w:sz w:val="24"/>
          <w:szCs w:val="24"/>
        </w:rPr>
        <w:t>Zlín</w:t>
      </w:r>
      <w:r w:rsidR="007B4F3A">
        <w:rPr>
          <w:sz w:val="24"/>
          <w:szCs w:val="24"/>
        </w:rPr>
        <w:t>,</w:t>
      </w:r>
      <w:r w:rsidR="007B4F3A" w:rsidRPr="007B4F3A">
        <w:rPr>
          <w:sz w:val="24"/>
          <w:szCs w:val="24"/>
        </w:rPr>
        <w:t xml:space="preserve"> OŽP</w:t>
      </w:r>
      <w:r w:rsidRPr="00100FC8">
        <w:rPr>
          <w:sz w:val="24"/>
          <w:szCs w:val="24"/>
        </w:rPr>
        <w:tab/>
      </w:r>
      <w:r w:rsidR="0067294A">
        <w:rPr>
          <w:sz w:val="24"/>
          <w:szCs w:val="24"/>
        </w:rPr>
        <w:t>577 630 111</w:t>
      </w:r>
      <w:bookmarkStart w:id="3" w:name="_GoBack"/>
      <w:bookmarkEnd w:id="3"/>
    </w:p>
    <w:p w:rsidR="00E66DDF" w:rsidRPr="00100FC8" w:rsidRDefault="00E66DDF" w:rsidP="00513061">
      <w:pPr>
        <w:tabs>
          <w:tab w:val="left" w:pos="426"/>
          <w:tab w:val="left" w:pos="6237"/>
        </w:tabs>
        <w:rPr>
          <w:sz w:val="24"/>
          <w:szCs w:val="24"/>
        </w:rPr>
      </w:pPr>
      <w:r w:rsidRPr="00100FC8">
        <w:rPr>
          <w:sz w:val="24"/>
          <w:szCs w:val="24"/>
        </w:rPr>
        <w:tab/>
        <w:t xml:space="preserve">Správci </w:t>
      </w:r>
      <w:proofErr w:type="gramStart"/>
      <w:r w:rsidRPr="00100FC8">
        <w:rPr>
          <w:sz w:val="24"/>
          <w:szCs w:val="24"/>
        </w:rPr>
        <w:t>povodí - dispečink</w:t>
      </w:r>
      <w:proofErr w:type="gramEnd"/>
      <w:r w:rsidRPr="00100FC8">
        <w:rPr>
          <w:sz w:val="24"/>
          <w:szCs w:val="24"/>
        </w:rPr>
        <w:t xml:space="preserve"> Povodí Moravy, </w:t>
      </w:r>
      <w:proofErr w:type="spellStart"/>
      <w:r w:rsidRPr="00100FC8">
        <w:rPr>
          <w:sz w:val="24"/>
          <w:szCs w:val="24"/>
        </w:rPr>
        <w:t>s.p</w:t>
      </w:r>
      <w:proofErr w:type="spellEnd"/>
      <w:r w:rsidRPr="00100FC8">
        <w:rPr>
          <w:sz w:val="24"/>
          <w:szCs w:val="24"/>
        </w:rPr>
        <w:t>.</w:t>
      </w:r>
      <w:r w:rsidRPr="00100FC8">
        <w:rPr>
          <w:sz w:val="24"/>
          <w:szCs w:val="24"/>
        </w:rPr>
        <w:tab/>
        <w:t>541 211737</w:t>
      </w:r>
    </w:p>
    <w:p w:rsidR="00E66DDF" w:rsidRPr="00100FC8" w:rsidRDefault="00E66DDF" w:rsidP="00513061">
      <w:pPr>
        <w:tabs>
          <w:tab w:val="left" w:pos="426"/>
          <w:tab w:val="left" w:pos="6237"/>
        </w:tabs>
        <w:rPr>
          <w:sz w:val="24"/>
          <w:szCs w:val="24"/>
        </w:rPr>
      </w:pPr>
      <w:r w:rsidRPr="00100FC8">
        <w:rPr>
          <w:sz w:val="24"/>
          <w:szCs w:val="24"/>
        </w:rPr>
        <w:tab/>
        <w:t>Policii České republiky</w:t>
      </w:r>
      <w:r w:rsidRPr="00100FC8">
        <w:rPr>
          <w:sz w:val="24"/>
          <w:szCs w:val="24"/>
        </w:rPr>
        <w:tab/>
        <w:t>158</w:t>
      </w:r>
    </w:p>
    <w:p w:rsidR="00E66DDF" w:rsidRPr="00E87461" w:rsidRDefault="00E66DDF" w:rsidP="00E87461">
      <w:pPr>
        <w:tabs>
          <w:tab w:val="left" w:pos="426"/>
          <w:tab w:val="left" w:pos="6804"/>
        </w:tabs>
        <w:rPr>
          <w:sz w:val="24"/>
          <w:szCs w:val="24"/>
        </w:rPr>
      </w:pPr>
    </w:p>
    <w:p w:rsidR="00E66DDF" w:rsidRPr="007C3860" w:rsidRDefault="00E66DDF" w:rsidP="003A23A1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7C3860">
        <w:rPr>
          <w:i/>
          <w:iCs/>
          <w:sz w:val="24"/>
          <w:szCs w:val="24"/>
        </w:rPr>
        <w:t>Před zahájením výstavby budou doplněna jména odpovědných osob včetně funkcí a popřípadě</w:t>
      </w:r>
    </w:p>
    <w:p w:rsidR="00E66DDF" w:rsidRDefault="00E66DDF" w:rsidP="003A23A1">
      <w:pPr>
        <w:jc w:val="both"/>
        <w:rPr>
          <w:i/>
          <w:iCs/>
          <w:sz w:val="24"/>
          <w:szCs w:val="24"/>
        </w:rPr>
      </w:pPr>
      <w:r w:rsidRPr="007C3860">
        <w:rPr>
          <w:i/>
          <w:iCs/>
          <w:sz w:val="24"/>
          <w:szCs w:val="24"/>
        </w:rPr>
        <w:t>provedena změna telefonních čísel</w:t>
      </w:r>
      <w:r>
        <w:rPr>
          <w:i/>
          <w:iCs/>
          <w:sz w:val="24"/>
          <w:szCs w:val="24"/>
        </w:rPr>
        <w:t>.</w:t>
      </w:r>
    </w:p>
    <w:p w:rsidR="00E66DDF" w:rsidRPr="005B5202" w:rsidRDefault="00E66DDF" w:rsidP="0021176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B5202">
        <w:rPr>
          <w:b/>
          <w:bCs/>
          <w:sz w:val="24"/>
          <w:szCs w:val="24"/>
        </w:rPr>
        <w:t>Seznámení s plánem havarijních opatření</w:t>
      </w:r>
    </w:p>
    <w:p w:rsidR="00E66DDF" w:rsidRDefault="00E66DDF" w:rsidP="00211763">
      <w:pPr>
        <w:autoSpaceDE w:val="0"/>
        <w:autoSpaceDN w:val="0"/>
        <w:adjustRightInd w:val="0"/>
        <w:rPr>
          <w:sz w:val="24"/>
          <w:szCs w:val="24"/>
        </w:rPr>
      </w:pPr>
    </w:p>
    <w:p w:rsidR="00E66DDF" w:rsidRPr="005B5202" w:rsidRDefault="00E66DDF" w:rsidP="0039577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B5202">
        <w:rPr>
          <w:sz w:val="24"/>
          <w:szCs w:val="24"/>
        </w:rPr>
        <w:t>Havarijní plán bude vyvěšen na viditelném místě a budou s</w:t>
      </w:r>
      <w:r>
        <w:rPr>
          <w:sz w:val="24"/>
          <w:szCs w:val="24"/>
        </w:rPr>
        <w:t> </w:t>
      </w:r>
      <w:r w:rsidRPr="005B5202">
        <w:rPr>
          <w:sz w:val="24"/>
          <w:szCs w:val="24"/>
        </w:rPr>
        <w:t>ním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seznámeni všichni pracovníci na stavbě. Seznámení s havarijn</w:t>
      </w:r>
      <w:r>
        <w:rPr>
          <w:sz w:val="24"/>
          <w:szCs w:val="24"/>
        </w:rPr>
        <w:t xml:space="preserve">ím plánem bude stvrzeno podpisy </w:t>
      </w:r>
      <w:r w:rsidRPr="005B5202">
        <w:rPr>
          <w:sz w:val="24"/>
          <w:szCs w:val="24"/>
        </w:rPr>
        <w:t>všech pracovníků.</w:t>
      </w:r>
    </w:p>
    <w:p w:rsidR="00E66DDF" w:rsidRDefault="00E66DDF" w:rsidP="003A23A1">
      <w:pPr>
        <w:jc w:val="both"/>
        <w:rPr>
          <w:b/>
          <w:sz w:val="26"/>
          <w:szCs w:val="26"/>
        </w:rPr>
      </w:pPr>
    </w:p>
    <w:p w:rsidR="00E66DDF" w:rsidRDefault="00E66DDF" w:rsidP="00211763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B5202">
        <w:rPr>
          <w:b/>
          <w:bCs/>
          <w:sz w:val="24"/>
          <w:szCs w:val="24"/>
        </w:rPr>
        <w:lastRenderedPageBreak/>
        <w:t>Charakteristika používaných závadných látek</w:t>
      </w:r>
    </w:p>
    <w:p w:rsidR="00E66DDF" w:rsidRPr="005B5202" w:rsidRDefault="00E66DDF" w:rsidP="00211763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Default="00E66DDF" w:rsidP="0021176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Ze závadných látek budou na stavbě používány především ropné </w:t>
      </w:r>
      <w:proofErr w:type="gramStart"/>
      <w:r w:rsidRPr="005B5202">
        <w:rPr>
          <w:sz w:val="24"/>
          <w:szCs w:val="24"/>
        </w:rPr>
        <w:t>látky</w:t>
      </w:r>
      <w:proofErr w:type="gramEnd"/>
      <w:r w:rsidRPr="005B5202">
        <w:rPr>
          <w:sz w:val="24"/>
          <w:szCs w:val="24"/>
        </w:rPr>
        <w:t xml:space="preserve"> a to jak ve formě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pohonných hmot (motorová nafta, benzín), tak ve formě maziv všech stavebních mechanizmů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(minerální oleje). Jedná se o látky s nižší objemovou hmotností, než má voda, které př</w:t>
      </w:r>
      <w:r>
        <w:rPr>
          <w:sz w:val="24"/>
          <w:szCs w:val="24"/>
        </w:rPr>
        <w:t xml:space="preserve">i úniku do </w:t>
      </w:r>
      <w:r w:rsidRPr="005B5202">
        <w:rPr>
          <w:sz w:val="24"/>
          <w:szCs w:val="24"/>
        </w:rPr>
        <w:t xml:space="preserve">vody vytvářejí na hladině </w:t>
      </w:r>
      <w:r>
        <w:rPr>
          <w:sz w:val="24"/>
          <w:szCs w:val="24"/>
        </w:rPr>
        <w:t xml:space="preserve">olejový film. </w:t>
      </w:r>
      <w:r w:rsidRPr="005B5202">
        <w:rPr>
          <w:sz w:val="24"/>
          <w:szCs w:val="24"/>
        </w:rPr>
        <w:t xml:space="preserve">Použití ostatních závadných látek je jen v malém rozsahu a platí pro ně </w:t>
      </w:r>
      <w:r>
        <w:rPr>
          <w:sz w:val="24"/>
          <w:szCs w:val="24"/>
        </w:rPr>
        <w:t xml:space="preserve">ustanovení uvedená </w:t>
      </w:r>
      <w:r w:rsidRPr="005B5202">
        <w:rPr>
          <w:sz w:val="24"/>
          <w:szCs w:val="24"/>
        </w:rPr>
        <w:t xml:space="preserve">na obalu. </w:t>
      </w:r>
    </w:p>
    <w:p w:rsidR="00E66DDF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66DDF" w:rsidRDefault="00E66DDF" w:rsidP="004445F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B5202">
        <w:rPr>
          <w:b/>
          <w:bCs/>
          <w:sz w:val="24"/>
          <w:szCs w:val="24"/>
        </w:rPr>
        <w:t>Zásady bezpečnosti práce a požární prevence</w:t>
      </w:r>
    </w:p>
    <w:p w:rsidR="00E66DDF" w:rsidRPr="005B5202" w:rsidRDefault="00E66DDF" w:rsidP="004445F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5B5202" w:rsidRDefault="00E66DDF" w:rsidP="004445F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5B5202">
        <w:rPr>
          <w:sz w:val="24"/>
          <w:szCs w:val="24"/>
        </w:rPr>
        <w:t>Při všech stavebních pracích je nutno dodržet u</w:t>
      </w:r>
      <w:r>
        <w:rPr>
          <w:sz w:val="24"/>
          <w:szCs w:val="24"/>
        </w:rPr>
        <w:t xml:space="preserve">stanovení příslušných zákonných </w:t>
      </w:r>
      <w:r w:rsidRPr="005B5202">
        <w:rPr>
          <w:sz w:val="24"/>
          <w:szCs w:val="24"/>
        </w:rPr>
        <w:t>a technických norem, které upravují danou oblast. Jedná se</w:t>
      </w:r>
      <w:r>
        <w:rPr>
          <w:sz w:val="24"/>
          <w:szCs w:val="24"/>
        </w:rPr>
        <w:t xml:space="preserve"> zejména o Vyhlášku č. 324/1990 </w:t>
      </w:r>
      <w:r w:rsidRPr="005B5202">
        <w:rPr>
          <w:sz w:val="24"/>
          <w:szCs w:val="24"/>
        </w:rPr>
        <w:t>Sb.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"O bezpečnosti práce a technických zařízení při stavebních pracích". Z této vyhlášky je nutno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věnovat obzvláště významnou pozornost následujícím částem a paragrafům: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druhá - Stavební</w:t>
      </w:r>
      <w:proofErr w:type="gramEnd"/>
      <w:r w:rsidRPr="005B5202">
        <w:rPr>
          <w:sz w:val="24"/>
          <w:szCs w:val="24"/>
        </w:rPr>
        <w:t xml:space="preserve"> práce v mimořádných podmínkách - § 7, 8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čtvrtá - Staveniště</w:t>
      </w:r>
      <w:proofErr w:type="gramEnd"/>
      <w:r w:rsidRPr="005B5202">
        <w:rPr>
          <w:sz w:val="24"/>
          <w:szCs w:val="24"/>
        </w:rPr>
        <w:t xml:space="preserve"> (pracoviště) - § 11, 12, 13, 15, 16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pátá - Zemní</w:t>
      </w:r>
      <w:proofErr w:type="gramEnd"/>
      <w:r w:rsidRPr="005B5202">
        <w:rPr>
          <w:sz w:val="24"/>
          <w:szCs w:val="24"/>
        </w:rPr>
        <w:t xml:space="preserve"> práce - § 18, 19, 20, 21, 22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šestá - Betonářské</w:t>
      </w:r>
      <w:proofErr w:type="gramEnd"/>
      <w:r w:rsidRPr="005B5202">
        <w:rPr>
          <w:sz w:val="24"/>
          <w:szCs w:val="24"/>
        </w:rPr>
        <w:t xml:space="preserve"> práce a práce související - § 29, 33, 35, 36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sedmá - Zednické</w:t>
      </w:r>
      <w:proofErr w:type="gramEnd"/>
      <w:r w:rsidRPr="005B5202">
        <w:rPr>
          <w:sz w:val="24"/>
          <w:szCs w:val="24"/>
        </w:rPr>
        <w:t xml:space="preserve"> práce - § 37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osmá - Montážní</w:t>
      </w:r>
      <w:proofErr w:type="gramEnd"/>
      <w:r w:rsidRPr="005B5202">
        <w:rPr>
          <w:sz w:val="24"/>
          <w:szCs w:val="24"/>
        </w:rPr>
        <w:t xml:space="preserve"> práce - § 40, 41, 42, 43, 44, 45, 46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devátá - Práce</w:t>
      </w:r>
      <w:proofErr w:type="gramEnd"/>
      <w:r w:rsidRPr="005B5202">
        <w:rPr>
          <w:sz w:val="24"/>
          <w:szCs w:val="24"/>
        </w:rPr>
        <w:t xml:space="preserve"> ve výškách a nad volnou hloubkou - § 47, </w:t>
      </w:r>
      <w:r>
        <w:rPr>
          <w:sz w:val="24"/>
          <w:szCs w:val="24"/>
        </w:rPr>
        <w:t xml:space="preserve">48, 49, 50, 51, 52, 54, 55, 59, </w:t>
      </w:r>
      <w:r w:rsidRPr="005B5202">
        <w:rPr>
          <w:sz w:val="24"/>
          <w:szCs w:val="24"/>
        </w:rPr>
        <w:t>60, 61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jedenáctá - Stroje</w:t>
      </w:r>
      <w:proofErr w:type="gramEnd"/>
      <w:r w:rsidRPr="005B5202">
        <w:rPr>
          <w:sz w:val="24"/>
          <w:szCs w:val="24"/>
        </w:rPr>
        <w:t xml:space="preserve"> a strojní zařízení - § 71, 72, 73, 74, 75, </w:t>
      </w:r>
      <w:r>
        <w:rPr>
          <w:sz w:val="24"/>
          <w:szCs w:val="24"/>
        </w:rPr>
        <w:t xml:space="preserve">76, 77, 78, 79, 80, 82, 83, 89, </w:t>
      </w:r>
      <w:r w:rsidRPr="005B5202">
        <w:rPr>
          <w:sz w:val="24"/>
          <w:szCs w:val="24"/>
        </w:rPr>
        <w:t>90, 91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 xml:space="preserve">část </w:t>
      </w:r>
      <w:proofErr w:type="gramStart"/>
      <w:r w:rsidRPr="005B5202">
        <w:rPr>
          <w:sz w:val="24"/>
          <w:szCs w:val="24"/>
        </w:rPr>
        <w:t>dvanáctá - Práce</w:t>
      </w:r>
      <w:proofErr w:type="gramEnd"/>
      <w:r w:rsidRPr="005B5202">
        <w:rPr>
          <w:sz w:val="24"/>
          <w:szCs w:val="24"/>
        </w:rPr>
        <w:t xml:space="preserve"> související se stavební činností - § 92, 95, 96, 98, 99.</w:t>
      </w:r>
    </w:p>
    <w:p w:rsidR="00E66DDF" w:rsidRPr="005B5202" w:rsidRDefault="00E66DDF" w:rsidP="004445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5202">
        <w:rPr>
          <w:sz w:val="24"/>
          <w:szCs w:val="24"/>
        </w:rPr>
        <w:t>Pro požární prevenci platí Zákon o požární ochraně č. 133/1985 Sb. Činnosti na stavbě lze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 xml:space="preserve">charakterizovat podle §4, odst. 1 bez zvýšeného požárního </w:t>
      </w:r>
      <w:r>
        <w:rPr>
          <w:sz w:val="24"/>
          <w:szCs w:val="24"/>
        </w:rPr>
        <w:t xml:space="preserve">nebezpečí. Stavba bude vybavena </w:t>
      </w:r>
      <w:r w:rsidRPr="005B5202">
        <w:rPr>
          <w:sz w:val="24"/>
          <w:szCs w:val="24"/>
        </w:rPr>
        <w:t xml:space="preserve">věcnými prostředky požární ochrany, za jejíž úplnost a správnost </w:t>
      </w:r>
      <w:r>
        <w:rPr>
          <w:sz w:val="24"/>
          <w:szCs w:val="24"/>
        </w:rPr>
        <w:t xml:space="preserve">jejího použití odpovídá odborně </w:t>
      </w:r>
      <w:r w:rsidRPr="005B5202">
        <w:rPr>
          <w:sz w:val="24"/>
          <w:szCs w:val="24"/>
        </w:rPr>
        <w:t>způsobilá osoba. Pracovníci jsou povinni v rámci požární prevence do</w:t>
      </w:r>
      <w:r>
        <w:rPr>
          <w:sz w:val="24"/>
          <w:szCs w:val="24"/>
        </w:rPr>
        <w:t xml:space="preserve">držovat </w:t>
      </w:r>
      <w:r w:rsidRPr="005B5202">
        <w:rPr>
          <w:sz w:val="24"/>
          <w:szCs w:val="24"/>
        </w:rPr>
        <w:t>technické podmínky a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návody vztahující se k požární bezpečnosti výrobků nebo činností</w:t>
      </w:r>
    </w:p>
    <w:p w:rsidR="00E66DDF" w:rsidRDefault="00E66DDF" w:rsidP="003A23A1">
      <w:pPr>
        <w:jc w:val="both"/>
        <w:rPr>
          <w:b/>
          <w:sz w:val="26"/>
          <w:szCs w:val="26"/>
        </w:rPr>
      </w:pPr>
    </w:p>
    <w:p w:rsidR="00E66DDF" w:rsidRDefault="00E66DDF" w:rsidP="004445F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5B5202">
        <w:rPr>
          <w:b/>
          <w:bCs/>
          <w:sz w:val="24"/>
          <w:szCs w:val="24"/>
        </w:rPr>
        <w:t>Ustanovení odpovědnosti</w:t>
      </w:r>
    </w:p>
    <w:p w:rsidR="00E66DDF" w:rsidRPr="005B5202" w:rsidRDefault="00E66DDF" w:rsidP="004445F2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66DDF" w:rsidRPr="005B5202" w:rsidRDefault="00E66DDF" w:rsidP="004445F2">
      <w:pPr>
        <w:autoSpaceDE w:val="0"/>
        <w:autoSpaceDN w:val="0"/>
        <w:adjustRightInd w:val="0"/>
        <w:rPr>
          <w:sz w:val="24"/>
          <w:szCs w:val="24"/>
        </w:rPr>
      </w:pPr>
      <w:r w:rsidRPr="005B5202">
        <w:rPr>
          <w:sz w:val="24"/>
          <w:szCs w:val="24"/>
        </w:rPr>
        <w:t>- O činnostech prováděných podle tohoto havarijního plánu ve</w:t>
      </w:r>
      <w:r>
        <w:rPr>
          <w:sz w:val="24"/>
          <w:szCs w:val="24"/>
        </w:rPr>
        <w:t xml:space="preserve">de stavitel stavební deník a do </w:t>
      </w:r>
      <w:r w:rsidRPr="005B5202">
        <w:rPr>
          <w:sz w:val="24"/>
          <w:szCs w:val="24"/>
        </w:rPr>
        <w:t>něj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zapisuje obsah a popis provedených opatření a výsledky prováděných prohlídek</w:t>
      </w:r>
    </w:p>
    <w:p w:rsidR="00E66DDF" w:rsidRPr="005B5202" w:rsidRDefault="00E66DDF" w:rsidP="004445F2">
      <w:pPr>
        <w:autoSpaceDE w:val="0"/>
        <w:autoSpaceDN w:val="0"/>
        <w:adjustRightInd w:val="0"/>
        <w:rPr>
          <w:sz w:val="24"/>
          <w:szCs w:val="24"/>
        </w:rPr>
      </w:pPr>
      <w:r w:rsidRPr="005B5202">
        <w:rPr>
          <w:sz w:val="24"/>
          <w:szCs w:val="24"/>
        </w:rPr>
        <w:t>- Zápisy ve stavebním deníku provádí osoby tím pověřené</w:t>
      </w:r>
    </w:p>
    <w:p w:rsidR="00E66DDF" w:rsidRPr="005B5202" w:rsidRDefault="00E66DDF" w:rsidP="004445F2">
      <w:pPr>
        <w:autoSpaceDE w:val="0"/>
        <w:autoSpaceDN w:val="0"/>
        <w:adjustRightInd w:val="0"/>
        <w:rPr>
          <w:sz w:val="24"/>
          <w:szCs w:val="24"/>
        </w:rPr>
      </w:pPr>
      <w:r w:rsidRPr="005B5202">
        <w:rPr>
          <w:sz w:val="24"/>
          <w:szCs w:val="24"/>
        </w:rPr>
        <w:t>- Za dodržení havarijního plánu zodpovídá stavbyvedoucí dodavatele.</w:t>
      </w:r>
    </w:p>
    <w:p w:rsidR="00E66DDF" w:rsidRPr="004445F2" w:rsidRDefault="00E66DDF" w:rsidP="004445F2">
      <w:pPr>
        <w:autoSpaceDE w:val="0"/>
        <w:autoSpaceDN w:val="0"/>
        <w:adjustRightInd w:val="0"/>
        <w:rPr>
          <w:sz w:val="24"/>
          <w:szCs w:val="24"/>
        </w:rPr>
      </w:pPr>
      <w:r w:rsidRPr="005B5202">
        <w:rPr>
          <w:sz w:val="24"/>
          <w:szCs w:val="24"/>
        </w:rPr>
        <w:t>- Po výběru zhotovitele bude doplněn zodpovědný pra</w:t>
      </w:r>
      <w:r>
        <w:rPr>
          <w:sz w:val="24"/>
          <w:szCs w:val="24"/>
        </w:rPr>
        <w:t xml:space="preserve">covník dodavatele stavby včetně </w:t>
      </w:r>
      <w:r w:rsidRPr="005B5202">
        <w:rPr>
          <w:sz w:val="24"/>
          <w:szCs w:val="24"/>
        </w:rPr>
        <w:t>telefonního</w:t>
      </w:r>
      <w:r>
        <w:rPr>
          <w:sz w:val="24"/>
          <w:szCs w:val="24"/>
        </w:rPr>
        <w:t xml:space="preserve"> </w:t>
      </w:r>
      <w:r w:rsidRPr="005B5202">
        <w:rPr>
          <w:sz w:val="24"/>
          <w:szCs w:val="24"/>
        </w:rPr>
        <w:t>kontaktu</w:t>
      </w:r>
      <w:r>
        <w:rPr>
          <w:sz w:val="24"/>
          <w:szCs w:val="24"/>
        </w:rPr>
        <w:t>.</w:t>
      </w:r>
    </w:p>
    <w:p w:rsidR="00E66DDF" w:rsidRDefault="00E66DDF" w:rsidP="003A23A1">
      <w:pPr>
        <w:jc w:val="both"/>
        <w:rPr>
          <w:b/>
          <w:sz w:val="26"/>
          <w:szCs w:val="26"/>
        </w:rPr>
      </w:pPr>
    </w:p>
    <w:p w:rsidR="00E66DDF" w:rsidRDefault="00E66DDF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62EA" w:rsidRDefault="00A362EA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62EA" w:rsidRDefault="00A362EA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62EA" w:rsidRDefault="00A362EA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62EA" w:rsidRDefault="00A362EA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362EA" w:rsidRDefault="00A362E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E66DDF" w:rsidRDefault="00E66DDF" w:rsidP="0039577D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Vzor zápisu o havárii</w:t>
      </w:r>
    </w:p>
    <w:p w:rsidR="00E66DDF" w:rsidRPr="0039577D" w:rsidRDefault="007D6F27" w:rsidP="003A23A1">
      <w:pPr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886450" cy="84867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6DDF" w:rsidRPr="0039577D" w:rsidSect="001F2310">
      <w:headerReference w:type="default" r:id="rId10"/>
      <w:footerReference w:type="even" r:id="rId11"/>
      <w:footerReference w:type="default" r:id="rId12"/>
      <w:pgSz w:w="11906" w:h="16838"/>
      <w:pgMar w:top="1258" w:right="1417" w:bottom="1078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12B" w:rsidRDefault="0074012B">
      <w:r>
        <w:separator/>
      </w:r>
    </w:p>
  </w:endnote>
  <w:endnote w:type="continuationSeparator" w:id="0">
    <w:p w:rsidR="0074012B" w:rsidRDefault="007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D3" w:rsidRDefault="003A68D3" w:rsidP="004A426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A68D3" w:rsidRDefault="003A6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D3" w:rsidRDefault="0067294A" w:rsidP="001F2310">
    <w:pPr>
      <w:pStyle w:val="Zpat"/>
      <w:jc w:val="center"/>
    </w:pPr>
    <w:sdt>
      <w:sdtPr>
        <w:id w:val="-371001209"/>
        <w:docPartObj>
          <w:docPartGallery w:val="Page Numbers (Top of Page)"/>
          <w:docPartUnique/>
        </w:docPartObj>
      </w:sdtPr>
      <w:sdtEndPr/>
      <w:sdtContent>
        <w:r w:rsidR="003A68D3">
          <w:t xml:space="preserve">Stránka </w:t>
        </w:r>
        <w:r w:rsidR="003A68D3">
          <w:rPr>
            <w:b/>
          </w:rPr>
          <w:fldChar w:fldCharType="begin"/>
        </w:r>
        <w:r w:rsidR="003A68D3">
          <w:rPr>
            <w:b/>
          </w:rPr>
          <w:instrText xml:space="preserve"> PAGE  </w:instrText>
        </w:r>
        <w:r w:rsidR="003A68D3">
          <w:rPr>
            <w:b/>
          </w:rPr>
          <w:fldChar w:fldCharType="separate"/>
        </w:r>
        <w:r w:rsidR="00494FFA">
          <w:rPr>
            <w:b/>
            <w:noProof/>
          </w:rPr>
          <w:t>6</w:t>
        </w:r>
        <w:r w:rsidR="003A68D3">
          <w:rPr>
            <w:b/>
          </w:rPr>
          <w:fldChar w:fldCharType="end"/>
        </w:r>
        <w:r w:rsidR="003A68D3">
          <w:t xml:space="preserve"> z </w:t>
        </w:r>
        <w:r w:rsidR="003A68D3">
          <w:rPr>
            <w:b/>
            <w:noProof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12B" w:rsidRDefault="0074012B">
      <w:r>
        <w:separator/>
      </w:r>
    </w:p>
  </w:footnote>
  <w:footnote w:type="continuationSeparator" w:id="0">
    <w:p w:rsidR="0074012B" w:rsidRDefault="00740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8D3" w:rsidRDefault="003A68D3" w:rsidP="00E14EBD">
    <w:pPr>
      <w:pStyle w:val="Zhlav"/>
      <w:jc w:val="right"/>
      <w:rPr>
        <w:i/>
      </w:rPr>
    </w:pPr>
    <w:proofErr w:type="spellStart"/>
    <w:r>
      <w:rPr>
        <w:i/>
      </w:rPr>
      <w:t>Baldecký</w:t>
    </w:r>
    <w:proofErr w:type="spellEnd"/>
    <w:r>
      <w:rPr>
        <w:i/>
      </w:rPr>
      <w:t xml:space="preserve"> potok ř. km 0,000 – 1,942</w:t>
    </w:r>
  </w:p>
  <w:p w:rsidR="003A68D3" w:rsidRDefault="003A68D3" w:rsidP="002F09D4">
    <w:pPr>
      <w:pStyle w:val="Zhlav"/>
      <w:jc w:val="right"/>
    </w:pPr>
    <w:r>
      <w:rPr>
        <w:bCs/>
        <w:szCs w:val="26"/>
      </w:rPr>
      <w:t>Havarijní plán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E669C"/>
    <w:multiLevelType w:val="singleLevel"/>
    <w:tmpl w:val="E24AC1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06"/>
    <w:rsid w:val="000041FD"/>
    <w:rsid w:val="00100FC8"/>
    <w:rsid w:val="00121D59"/>
    <w:rsid w:val="00124157"/>
    <w:rsid w:val="001B427D"/>
    <w:rsid w:val="001F2310"/>
    <w:rsid w:val="00211763"/>
    <w:rsid w:val="00212972"/>
    <w:rsid w:val="00225A27"/>
    <w:rsid w:val="00226E2A"/>
    <w:rsid w:val="00280488"/>
    <w:rsid w:val="002B017F"/>
    <w:rsid w:val="002C437D"/>
    <w:rsid w:val="002F09D4"/>
    <w:rsid w:val="00352A14"/>
    <w:rsid w:val="0039577D"/>
    <w:rsid w:val="00396D06"/>
    <w:rsid w:val="003A23A1"/>
    <w:rsid w:val="003A68D3"/>
    <w:rsid w:val="003C3292"/>
    <w:rsid w:val="003F33F7"/>
    <w:rsid w:val="004445F2"/>
    <w:rsid w:val="00447F2D"/>
    <w:rsid w:val="0047202F"/>
    <w:rsid w:val="00473914"/>
    <w:rsid w:val="00494FFA"/>
    <w:rsid w:val="004A426E"/>
    <w:rsid w:val="004B491E"/>
    <w:rsid w:val="004C6A7E"/>
    <w:rsid w:val="004F0ED6"/>
    <w:rsid w:val="00513061"/>
    <w:rsid w:val="005349E3"/>
    <w:rsid w:val="005356A5"/>
    <w:rsid w:val="00556851"/>
    <w:rsid w:val="00561539"/>
    <w:rsid w:val="00584289"/>
    <w:rsid w:val="005A1320"/>
    <w:rsid w:val="005A6BA6"/>
    <w:rsid w:val="005B5202"/>
    <w:rsid w:val="005F41AC"/>
    <w:rsid w:val="00616C3C"/>
    <w:rsid w:val="00626984"/>
    <w:rsid w:val="006307AA"/>
    <w:rsid w:val="00647B1F"/>
    <w:rsid w:val="0066779C"/>
    <w:rsid w:val="0067294A"/>
    <w:rsid w:val="006873AD"/>
    <w:rsid w:val="006C03EC"/>
    <w:rsid w:val="0074012B"/>
    <w:rsid w:val="0075328B"/>
    <w:rsid w:val="00762C91"/>
    <w:rsid w:val="0076546D"/>
    <w:rsid w:val="00775CB6"/>
    <w:rsid w:val="007B4F3A"/>
    <w:rsid w:val="007C3860"/>
    <w:rsid w:val="007D643C"/>
    <w:rsid w:val="007D6F27"/>
    <w:rsid w:val="008258D9"/>
    <w:rsid w:val="00856D49"/>
    <w:rsid w:val="008B583C"/>
    <w:rsid w:val="008D5E32"/>
    <w:rsid w:val="009374B0"/>
    <w:rsid w:val="00997BD4"/>
    <w:rsid w:val="009E2E03"/>
    <w:rsid w:val="009F477F"/>
    <w:rsid w:val="00A14F44"/>
    <w:rsid w:val="00A362EA"/>
    <w:rsid w:val="00A5328D"/>
    <w:rsid w:val="00A9692F"/>
    <w:rsid w:val="00AC683B"/>
    <w:rsid w:val="00AD0401"/>
    <w:rsid w:val="00AD2C36"/>
    <w:rsid w:val="00B46AC1"/>
    <w:rsid w:val="00B90405"/>
    <w:rsid w:val="00BF39AF"/>
    <w:rsid w:val="00C173FE"/>
    <w:rsid w:val="00C207EB"/>
    <w:rsid w:val="00C22700"/>
    <w:rsid w:val="00C93AED"/>
    <w:rsid w:val="00CD4F43"/>
    <w:rsid w:val="00D12665"/>
    <w:rsid w:val="00D957AC"/>
    <w:rsid w:val="00DB3AC7"/>
    <w:rsid w:val="00E14EBD"/>
    <w:rsid w:val="00E3705F"/>
    <w:rsid w:val="00E40269"/>
    <w:rsid w:val="00E64053"/>
    <w:rsid w:val="00E66DDF"/>
    <w:rsid w:val="00E815BA"/>
    <w:rsid w:val="00E87461"/>
    <w:rsid w:val="00E95226"/>
    <w:rsid w:val="00EF43D5"/>
    <w:rsid w:val="00F156FB"/>
    <w:rsid w:val="00F65FAD"/>
    <w:rsid w:val="00FA0FAA"/>
    <w:rsid w:val="00FA69DC"/>
    <w:rsid w:val="00FF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4217FCF"/>
  <w15:docId w15:val="{563CB6B0-0DD6-4750-B3DC-58B96025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6D06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09D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Standardnpsmoodstavce"/>
    <w:uiPriority w:val="99"/>
    <w:semiHidden/>
    <w:locked/>
    <w:rsid w:val="004F0ED6"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2F09D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F0ED6"/>
    <w:rPr>
      <w:rFonts w:ascii="Times New Roman" w:hAnsi="Times New Roman" w:cs="Times New Roman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F09D4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39577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AD2C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F0ED6"/>
    <w:rPr>
      <w:rFonts w:ascii="Times New Roman" w:hAnsi="Times New Roman" w:cs="Times New Roman"/>
      <w:sz w:val="2"/>
    </w:rPr>
  </w:style>
  <w:style w:type="character" w:customStyle="1" w:styleId="CharChar3">
    <w:name w:val="Char Char3"/>
    <w:basedOn w:val="Standardnpsmoodstavce"/>
    <w:uiPriority w:val="99"/>
    <w:rsid w:val="00E14EBD"/>
    <w:rPr>
      <w:rFonts w:cs="Times New Roman"/>
    </w:rPr>
  </w:style>
  <w:style w:type="character" w:customStyle="1" w:styleId="fontstyle01">
    <w:name w:val="fontstyle01"/>
    <w:basedOn w:val="Standardnpsmoodstavce"/>
    <w:rsid w:val="00C22700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0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2045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PVK a.s.</Company>
  <LinksUpToDate>false</LinksUpToDate>
  <CharactersWithSpaces>14324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Alfa</dc:creator>
  <cp:lastModifiedBy>Tomáš Klement</cp:lastModifiedBy>
  <cp:revision>9</cp:revision>
  <cp:lastPrinted>2017-12-01T10:50:00Z</cp:lastPrinted>
  <dcterms:created xsi:type="dcterms:W3CDTF">2017-12-01T10:15:00Z</dcterms:created>
  <dcterms:modified xsi:type="dcterms:W3CDTF">2018-07-10T21:30:00Z</dcterms:modified>
</cp:coreProperties>
</file>