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E9467" w14:textId="77777777" w:rsidR="006303EB" w:rsidRPr="009432A4" w:rsidRDefault="009432A4" w:rsidP="009432A4">
      <w:pPr>
        <w:pStyle w:val="1Nzev"/>
      </w:pPr>
      <w:r w:rsidRPr="009432A4">
        <w:t>Příloha k nabídce</w:t>
      </w:r>
    </w:p>
    <w:p w14:paraId="1FA00491" w14:textId="77777777" w:rsidR="009432A4" w:rsidRDefault="009432A4" w:rsidP="00754FF7">
      <w:pPr>
        <w:pStyle w:val="2Textzkladn"/>
      </w:pPr>
      <w:r>
        <w:t xml:space="preserve">Příloha k nabídce je </w:t>
      </w:r>
      <w:r w:rsidRPr="00754FF7">
        <w:t>součástí</w:t>
      </w:r>
      <w:r>
        <w:t xml:space="preserve"> Smlouvy o dílo:</w:t>
      </w:r>
    </w:p>
    <w:tbl>
      <w:tblPr>
        <w:tblStyle w:val="Mkatabulky"/>
        <w:tblW w:w="9639" w:type="dxa"/>
        <w:tblInd w:w="-5" w:type="dxa"/>
        <w:tblLook w:val="04A0" w:firstRow="1" w:lastRow="0" w:firstColumn="1" w:lastColumn="0" w:noHBand="0" w:noVBand="1"/>
      </w:tblPr>
      <w:tblGrid>
        <w:gridCol w:w="3152"/>
        <w:gridCol w:w="991"/>
        <w:gridCol w:w="5496"/>
      </w:tblGrid>
      <w:tr w:rsidR="009432A4" w14:paraId="4FB318C7" w14:textId="77777777" w:rsidTr="001923A0">
        <w:tc>
          <w:tcPr>
            <w:tcW w:w="3152" w:type="dxa"/>
            <w:vAlign w:val="center"/>
          </w:tcPr>
          <w:p w14:paraId="58DBFDA6" w14:textId="77777777" w:rsidR="009432A4" w:rsidRPr="00754FF7" w:rsidRDefault="009432A4" w:rsidP="00754FF7">
            <w:pPr>
              <w:pStyle w:val="3Tabulkapopis"/>
            </w:pPr>
            <w:r w:rsidRPr="00754FF7">
              <w:t>Název</w:t>
            </w:r>
            <w:r w:rsidR="00754FF7" w:rsidRPr="00754FF7">
              <w:rPr>
                <w:rStyle w:val="Znakapoznpodarou"/>
                <w:vertAlign w:val="baseline"/>
              </w:rPr>
              <w:footnoteReference w:id="2"/>
            </w:r>
          </w:p>
        </w:tc>
        <w:tc>
          <w:tcPr>
            <w:tcW w:w="991" w:type="dxa"/>
            <w:vAlign w:val="center"/>
          </w:tcPr>
          <w:p w14:paraId="0A9EB461" w14:textId="77777777" w:rsidR="009432A4" w:rsidRDefault="009432A4" w:rsidP="00754FF7">
            <w:pPr>
              <w:pStyle w:val="3Tabulkapopis"/>
            </w:pPr>
            <w:r>
              <w:t>Číslo</w:t>
            </w:r>
            <w:r w:rsidR="00754FF7">
              <w:rPr>
                <w:rStyle w:val="Znakapoznpodarou"/>
              </w:rPr>
              <w:footnoteReference w:id="3"/>
            </w:r>
          </w:p>
        </w:tc>
        <w:tc>
          <w:tcPr>
            <w:tcW w:w="5496" w:type="dxa"/>
            <w:vAlign w:val="center"/>
          </w:tcPr>
          <w:p w14:paraId="057AB65F" w14:textId="77777777" w:rsidR="009432A4" w:rsidRDefault="009432A4" w:rsidP="00754FF7">
            <w:pPr>
              <w:pStyle w:val="3Tabulkapopis"/>
            </w:pPr>
            <w:r>
              <w:t>Údaje</w:t>
            </w:r>
            <w:r w:rsidR="00754FF7">
              <w:rPr>
                <w:rStyle w:val="Znakapoznpodarou"/>
              </w:rPr>
              <w:footnoteReference w:id="4"/>
            </w:r>
          </w:p>
        </w:tc>
      </w:tr>
      <w:tr w:rsidR="009432A4" w14:paraId="6CBCAA62" w14:textId="77777777" w:rsidTr="001923A0">
        <w:tc>
          <w:tcPr>
            <w:tcW w:w="3152" w:type="dxa"/>
            <w:vAlign w:val="center"/>
          </w:tcPr>
          <w:p w14:paraId="24CA61F6" w14:textId="77777777" w:rsidR="009432A4" w:rsidRPr="00754FF7" w:rsidRDefault="008E74E8" w:rsidP="008E74E8">
            <w:pPr>
              <w:pStyle w:val="5VlT"/>
            </w:pPr>
            <w:r w:rsidRPr="008D6E59">
              <w:t>Technická specifikace</w:t>
            </w:r>
          </w:p>
        </w:tc>
        <w:tc>
          <w:tcPr>
            <w:tcW w:w="991" w:type="dxa"/>
            <w:vAlign w:val="center"/>
          </w:tcPr>
          <w:p w14:paraId="031CE1C7" w14:textId="77777777" w:rsidR="009432A4" w:rsidRPr="00754FF7" w:rsidRDefault="008E74E8" w:rsidP="0097151B">
            <w:pPr>
              <w:pStyle w:val="7ST"/>
            </w:pPr>
            <w:r>
              <w:t>1.1.1.5</w:t>
            </w:r>
          </w:p>
        </w:tc>
        <w:tc>
          <w:tcPr>
            <w:tcW w:w="5496" w:type="dxa"/>
            <w:vAlign w:val="center"/>
          </w:tcPr>
          <w:p w14:paraId="145C6A3D" w14:textId="77777777" w:rsidR="00F040CE" w:rsidRPr="00F040CE" w:rsidRDefault="00F040CE" w:rsidP="00F040CE">
            <w:pPr>
              <w:pStyle w:val="8VPT"/>
            </w:pPr>
            <w:r w:rsidRPr="00F040CE">
              <w:t>Dokument nazvaný „Technická specifikace“ a označený názvem Díla.</w:t>
            </w:r>
          </w:p>
          <w:p w14:paraId="060E46BE" w14:textId="6B202609" w:rsidR="009432A4" w:rsidRPr="00754FF7" w:rsidRDefault="00F040CE" w:rsidP="002C6281">
            <w:pPr>
              <w:pStyle w:val="8VPT"/>
            </w:pPr>
            <w:r w:rsidRPr="00F040CE">
              <w:t xml:space="preserve">Součástí Technické specifikace </w:t>
            </w:r>
            <w:r w:rsidR="00DD45CB">
              <w:t>jsou</w:t>
            </w:r>
            <w:r w:rsidR="00DD45CB" w:rsidRPr="00F040CE">
              <w:t xml:space="preserve"> </w:t>
            </w:r>
            <w:r w:rsidR="009C4521">
              <w:t xml:space="preserve">také </w:t>
            </w:r>
            <w:r w:rsidRPr="00F040CE">
              <w:t>Technické kvalitativní podmínky staveb</w:t>
            </w:r>
            <w:r w:rsidR="002C6281">
              <w:t xml:space="preserve">, </w:t>
            </w:r>
            <w:bookmarkStart w:id="0" w:name="_Hlk178665588"/>
            <w:r w:rsidR="002C6281">
              <w:t>TKP vodohospodářských staveb, zpracováno v 12/2010, HYDROPROJEKT CZ a.s., Táborská 31, 140 16 Praha 4 - Nusle</w:t>
            </w:r>
            <w:bookmarkEnd w:id="0"/>
            <w:r w:rsidRPr="00F040CE">
              <w:t>.</w:t>
            </w:r>
          </w:p>
        </w:tc>
      </w:tr>
      <w:tr w:rsidR="009432A4" w14:paraId="3EB0F1D5" w14:textId="77777777" w:rsidTr="001923A0">
        <w:tc>
          <w:tcPr>
            <w:tcW w:w="3152" w:type="dxa"/>
            <w:vAlign w:val="center"/>
          </w:tcPr>
          <w:p w14:paraId="1CE16DC0" w14:textId="77777777" w:rsidR="009432A4" w:rsidRPr="00754FF7" w:rsidRDefault="008E74E8" w:rsidP="008E74E8">
            <w:pPr>
              <w:pStyle w:val="5VlT"/>
            </w:pPr>
            <w:r>
              <w:t>Výkresy</w:t>
            </w:r>
          </w:p>
        </w:tc>
        <w:tc>
          <w:tcPr>
            <w:tcW w:w="991" w:type="dxa"/>
            <w:vAlign w:val="center"/>
          </w:tcPr>
          <w:p w14:paraId="0F3C288F" w14:textId="77777777" w:rsidR="009432A4" w:rsidRDefault="008E74E8" w:rsidP="0097151B">
            <w:pPr>
              <w:pStyle w:val="7ST"/>
            </w:pPr>
            <w:r>
              <w:t>1.1.1.6</w:t>
            </w:r>
          </w:p>
        </w:tc>
        <w:tc>
          <w:tcPr>
            <w:tcW w:w="5496" w:type="dxa"/>
            <w:vAlign w:val="center"/>
          </w:tcPr>
          <w:p w14:paraId="11ECA635" w14:textId="5F788667" w:rsidR="009432A4" w:rsidRPr="002060DD" w:rsidRDefault="00F040CE" w:rsidP="00F95392">
            <w:r w:rsidRPr="002060DD">
              <w:rPr>
                <w:rFonts w:ascii="Arial" w:hAnsi="Arial" w:cs="Arial"/>
                <w:sz w:val="20"/>
                <w:szCs w:val="20"/>
              </w:rPr>
              <w:t xml:space="preserve">Projektová dokumentace </w:t>
            </w:r>
            <w:r w:rsidR="00FF5315" w:rsidRPr="002060DD">
              <w:rPr>
                <w:rFonts w:ascii="Arial" w:hAnsi="Arial" w:cs="Arial"/>
                <w:sz w:val="20"/>
                <w:szCs w:val="20"/>
              </w:rPr>
              <w:t>pro provádění stavby</w:t>
            </w:r>
            <w:r w:rsidRPr="002060DD">
              <w:rPr>
                <w:rFonts w:ascii="Arial" w:hAnsi="Arial" w:cs="Arial"/>
                <w:sz w:val="20"/>
                <w:szCs w:val="20"/>
              </w:rPr>
              <w:t xml:space="preserve"> s názvem </w:t>
            </w:r>
            <w:r w:rsidR="000219F4" w:rsidRPr="002060DD">
              <w:rPr>
                <w:rFonts w:ascii="Arial" w:hAnsi="Arial" w:cs="Arial"/>
                <w:sz w:val="20"/>
                <w:szCs w:val="20"/>
              </w:rPr>
              <w:t>„</w:t>
            </w:r>
            <w:r w:rsidR="00CD6D32" w:rsidRPr="00CD6D32">
              <w:rPr>
                <w:rFonts w:ascii="Arial" w:hAnsi="Arial" w:cs="Arial"/>
                <w:sz w:val="20"/>
                <w:szCs w:val="20"/>
              </w:rPr>
              <w:t>Otava ř. km 19,2 - rekonstrukce jezu Vrcovice</w:t>
            </w:r>
            <w:r w:rsidR="000219F4" w:rsidRPr="002060DD">
              <w:rPr>
                <w:rFonts w:ascii="Arial" w:hAnsi="Arial" w:cs="Arial"/>
                <w:sz w:val="20"/>
                <w:szCs w:val="20"/>
              </w:rPr>
              <w:t>“</w:t>
            </w:r>
            <w:r w:rsidRPr="002060DD">
              <w:rPr>
                <w:rFonts w:ascii="Arial" w:hAnsi="Arial" w:cs="Arial"/>
                <w:sz w:val="20"/>
                <w:szCs w:val="20"/>
              </w:rPr>
              <w:t>, zpracovaná společností</w:t>
            </w:r>
            <w:r w:rsidR="00BC2A3A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F329B" w:rsidRPr="006F329B">
              <w:rPr>
                <w:rFonts w:ascii="Arial" w:hAnsi="Arial" w:cs="Arial"/>
                <w:sz w:val="20"/>
                <w:szCs w:val="20"/>
              </w:rPr>
              <w:t>Sweco</w:t>
            </w:r>
            <w:proofErr w:type="spellEnd"/>
            <w:r w:rsidR="006F329B" w:rsidRPr="006F329B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F329B" w:rsidRPr="006F329B">
              <w:rPr>
                <w:rFonts w:ascii="Arial" w:hAnsi="Arial" w:cs="Arial"/>
                <w:sz w:val="20"/>
                <w:szCs w:val="20"/>
              </w:rPr>
              <w:t>Hydroprojekt</w:t>
            </w:r>
            <w:proofErr w:type="spellEnd"/>
            <w:r w:rsidR="006F329B" w:rsidRPr="006F329B">
              <w:rPr>
                <w:rFonts w:ascii="Arial" w:hAnsi="Arial" w:cs="Arial"/>
                <w:sz w:val="20"/>
                <w:szCs w:val="20"/>
              </w:rPr>
              <w:t xml:space="preserve"> a.s.</w:t>
            </w:r>
            <w:r w:rsidRPr="002060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219F4" w:rsidRPr="002060DD">
              <w:rPr>
                <w:rFonts w:ascii="Arial" w:hAnsi="Arial" w:cs="Arial"/>
                <w:sz w:val="20"/>
                <w:szCs w:val="20"/>
              </w:rPr>
              <w:t xml:space="preserve">se sídlem </w:t>
            </w:r>
            <w:r w:rsidR="007F5979" w:rsidRPr="007F5979">
              <w:rPr>
                <w:rFonts w:ascii="Arial" w:hAnsi="Arial" w:cs="Arial"/>
                <w:sz w:val="20"/>
                <w:szCs w:val="20"/>
              </w:rPr>
              <w:t>Praha 4, Táborská 31, PSČ 140 16</w:t>
            </w:r>
            <w:r w:rsidR="000219F4" w:rsidRPr="002060D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060DD">
              <w:rPr>
                <w:rFonts w:ascii="Arial" w:hAnsi="Arial" w:cs="Arial"/>
                <w:sz w:val="20"/>
                <w:szCs w:val="20"/>
              </w:rPr>
              <w:t xml:space="preserve">IČO </w:t>
            </w:r>
            <w:r w:rsidR="000276BB" w:rsidRPr="000276BB">
              <w:rPr>
                <w:rFonts w:ascii="Arial" w:hAnsi="Arial" w:cs="Arial"/>
                <w:sz w:val="20"/>
                <w:szCs w:val="20"/>
              </w:rPr>
              <w:t>26475081</w:t>
            </w:r>
            <w:r w:rsidRPr="002060DD">
              <w:rPr>
                <w:rFonts w:ascii="Arial" w:hAnsi="Arial" w:cs="Arial"/>
                <w:sz w:val="20"/>
                <w:szCs w:val="20"/>
              </w:rPr>
              <w:t>, v</w:t>
            </w:r>
            <w:r w:rsidR="00DE6609">
              <w:rPr>
                <w:rFonts w:ascii="Arial" w:hAnsi="Arial" w:cs="Arial"/>
                <w:sz w:val="20"/>
                <w:szCs w:val="20"/>
              </w:rPr>
              <w:t> 09/2024</w:t>
            </w:r>
            <w:r w:rsidRPr="002060D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754FF7" w14:paraId="5368FA6E" w14:textId="77777777" w:rsidTr="001923A0">
        <w:tc>
          <w:tcPr>
            <w:tcW w:w="3152" w:type="dxa"/>
            <w:vAlign w:val="center"/>
          </w:tcPr>
          <w:p w14:paraId="253A4329" w14:textId="77777777" w:rsidR="00754FF7" w:rsidRPr="009432A4" w:rsidRDefault="008E74E8" w:rsidP="008E74E8">
            <w:pPr>
              <w:pStyle w:val="5VlT"/>
            </w:pPr>
            <w:r>
              <w:t>Formuláře</w:t>
            </w:r>
          </w:p>
        </w:tc>
        <w:tc>
          <w:tcPr>
            <w:tcW w:w="991" w:type="dxa"/>
            <w:vAlign w:val="center"/>
          </w:tcPr>
          <w:p w14:paraId="472F3A03" w14:textId="77777777" w:rsidR="00754FF7" w:rsidRDefault="008E74E8" w:rsidP="0097151B">
            <w:pPr>
              <w:pStyle w:val="7ST"/>
            </w:pPr>
            <w:r>
              <w:t>1.1.1.7</w:t>
            </w:r>
          </w:p>
        </w:tc>
        <w:tc>
          <w:tcPr>
            <w:tcW w:w="5496" w:type="dxa"/>
            <w:vAlign w:val="center"/>
          </w:tcPr>
          <w:p w14:paraId="79D14ED1" w14:textId="11A0E189" w:rsidR="008E74E8" w:rsidRPr="008E74E8" w:rsidRDefault="0045084F" w:rsidP="00BC3732">
            <w:pPr>
              <w:pStyle w:val="8VPT"/>
            </w:pPr>
            <w:r>
              <w:t>Formuláři</w:t>
            </w:r>
            <w:r w:rsidR="008E74E8" w:rsidRPr="008E74E8">
              <w:t xml:space="preserve"> </w:t>
            </w:r>
            <w:r w:rsidR="008E74E8" w:rsidRPr="00BC3732">
              <w:t>jsou následující</w:t>
            </w:r>
            <w:r w:rsidR="008E74E8" w:rsidRPr="008E74E8">
              <w:t xml:space="preserve"> dokumenty:</w:t>
            </w:r>
          </w:p>
          <w:p w14:paraId="72795655" w14:textId="33F1F34A" w:rsidR="00087792" w:rsidRDefault="000877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Smlouva o dílo;</w:t>
            </w:r>
          </w:p>
          <w:p w14:paraId="6DC99DEF" w14:textId="516A9C76" w:rsidR="008E74E8" w:rsidRPr="00BC3732" w:rsidRDefault="009324DC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O</w:t>
            </w:r>
            <w:r w:rsidR="008E74E8" w:rsidRPr="00BC3732">
              <w:t>ceněný Výkaz výměr předložený Zhotovitelem v</w:t>
            </w:r>
            <w:r>
              <w:t> </w:t>
            </w:r>
            <w:r w:rsidR="008E74E8" w:rsidRPr="00BC3732">
              <w:t>zadávacím řízení veřejné zakázky;</w:t>
            </w:r>
          </w:p>
          <w:p w14:paraId="05FEBC73" w14:textId="2336496B" w:rsidR="005325F9" w:rsidRDefault="002F0592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S</w:t>
            </w:r>
            <w:r w:rsidR="005325F9">
              <w:t xml:space="preserve">eznam </w:t>
            </w:r>
            <w:r w:rsidR="004530BE">
              <w:t>P</w:t>
            </w:r>
            <w:r w:rsidR="005325F9">
              <w:t>od</w:t>
            </w:r>
            <w:r w:rsidR="008653A5">
              <w:t>zhotovitelů</w:t>
            </w:r>
            <w:r w:rsidR="005325F9">
              <w:t xml:space="preserve"> prokazujících kvalifikaci;</w:t>
            </w:r>
          </w:p>
          <w:p w14:paraId="2ADD3257" w14:textId="5333112D" w:rsidR="003C462F" w:rsidRPr="00030DBC" w:rsidRDefault="003C462F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 w:rsidRPr="00030DBC">
              <w:t>Seznam kvalifikačního personálu Zhotovitele a jeho Podzhotovitelů;</w:t>
            </w:r>
          </w:p>
          <w:p w14:paraId="1DBE58F7" w14:textId="45E790C9" w:rsidR="005F4977" w:rsidRDefault="005F4977" w:rsidP="00BC3732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>Přehled patentů, užitných vzorů a průmyslových vzorů;</w:t>
            </w:r>
          </w:p>
          <w:p w14:paraId="6A838A99" w14:textId="32BD5DCA" w:rsidR="00754FF7" w:rsidRDefault="001C1647" w:rsidP="00571B71">
            <w:pPr>
              <w:pStyle w:val="9VPT"/>
              <w:numPr>
                <w:ilvl w:val="0"/>
                <w:numId w:val="1"/>
              </w:numPr>
              <w:ind w:left="453" w:hanging="453"/>
            </w:pPr>
            <w:r>
              <w:t xml:space="preserve">Korespondence týkající se plateb, včetně faktur </w:t>
            </w:r>
            <w:r w:rsidR="00571B71">
              <w:t>a </w:t>
            </w:r>
            <w:r>
              <w:t>Potvrzení průběžných a závěrečných plateb</w:t>
            </w:r>
            <w:r w:rsidR="000219F4">
              <w:t>.</w:t>
            </w:r>
          </w:p>
        </w:tc>
      </w:tr>
      <w:tr w:rsidR="00754FF7" w14:paraId="53044CA2" w14:textId="77777777" w:rsidTr="001923A0">
        <w:tc>
          <w:tcPr>
            <w:tcW w:w="3152" w:type="dxa"/>
            <w:vAlign w:val="center"/>
          </w:tcPr>
          <w:p w14:paraId="7D5C288C" w14:textId="63F8F7CB" w:rsidR="00754FF7" w:rsidRPr="00030DBC" w:rsidRDefault="0045084F" w:rsidP="00754FF7">
            <w:pPr>
              <w:pStyle w:val="5VlT"/>
            </w:pPr>
            <w:r w:rsidRPr="00030DBC">
              <w:t>Výkaz výměr</w:t>
            </w:r>
          </w:p>
        </w:tc>
        <w:tc>
          <w:tcPr>
            <w:tcW w:w="991" w:type="dxa"/>
            <w:vAlign w:val="center"/>
          </w:tcPr>
          <w:p w14:paraId="538C73DA" w14:textId="61471B55" w:rsidR="00754FF7" w:rsidRPr="00030DBC" w:rsidRDefault="0045084F" w:rsidP="0097151B">
            <w:pPr>
              <w:pStyle w:val="7ST"/>
            </w:pPr>
            <w:r w:rsidRPr="00030DBC">
              <w:t>1.1.1.10</w:t>
            </w:r>
          </w:p>
        </w:tc>
        <w:tc>
          <w:tcPr>
            <w:tcW w:w="5496" w:type="dxa"/>
            <w:vAlign w:val="center"/>
          </w:tcPr>
          <w:p w14:paraId="61B35B1A" w14:textId="77777777" w:rsidR="00754FF7" w:rsidRPr="00030DBC" w:rsidRDefault="0045084F" w:rsidP="00BC3732">
            <w:pPr>
              <w:pStyle w:val="8VPT"/>
            </w:pPr>
            <w:r w:rsidRPr="00030DBC">
              <w:t xml:space="preserve">Oceněný Výkaz výměr </w:t>
            </w:r>
            <w:r w:rsidR="00201FEA" w:rsidRPr="00030DBC">
              <w:t xml:space="preserve">byl Zhotovitelem předložen v zadávacím řízení veřejné zakázky a </w:t>
            </w:r>
            <w:r w:rsidRPr="00030DBC">
              <w:t>je Formulářem dle výše uvedeného řádku</w:t>
            </w:r>
            <w:r w:rsidR="00201FEA" w:rsidRPr="00030DBC">
              <w:t>.</w:t>
            </w:r>
          </w:p>
          <w:p w14:paraId="4E4548BD" w14:textId="49936F1C" w:rsidR="00201FEA" w:rsidRPr="00030DBC" w:rsidRDefault="00201FEA" w:rsidP="00760CDA">
            <w:pPr>
              <w:pStyle w:val="8VPT"/>
            </w:pPr>
            <w:r w:rsidRPr="00030DBC">
              <w:t xml:space="preserve">Neoceněný Výkaz výměr byl </w:t>
            </w:r>
            <w:r w:rsidR="00760CDA" w:rsidRPr="00030DBC">
              <w:t xml:space="preserve">součástí zadávací dokumentace </w:t>
            </w:r>
            <w:r w:rsidRPr="00030DBC">
              <w:t>Veřejné zakázky</w:t>
            </w:r>
            <w:r w:rsidR="00760CDA" w:rsidRPr="00030DBC">
              <w:t xml:space="preserve"> a při provádění Díla se nepoužije, nezjistí-li se jeho rozpor s oceněným Výkazem výměr</w:t>
            </w:r>
            <w:r w:rsidRPr="00030DBC">
              <w:t>.</w:t>
            </w:r>
          </w:p>
        </w:tc>
      </w:tr>
      <w:tr w:rsidR="00C04BAB" w14:paraId="3CE47574" w14:textId="4D014154" w:rsidTr="001923A0">
        <w:trPr>
          <w:trHeight w:val="279"/>
        </w:trPr>
        <w:tc>
          <w:tcPr>
            <w:tcW w:w="3152" w:type="dxa"/>
            <w:vAlign w:val="center"/>
          </w:tcPr>
          <w:p w14:paraId="66FCB1C0" w14:textId="5E5D7A98" w:rsidR="00C04BAB" w:rsidRPr="00030DBC" w:rsidRDefault="00031177" w:rsidP="00754FF7">
            <w:pPr>
              <w:pStyle w:val="5VlT"/>
            </w:pPr>
            <w:r w:rsidRPr="00030DBC">
              <w:t>BIM Protokol</w:t>
            </w:r>
          </w:p>
        </w:tc>
        <w:tc>
          <w:tcPr>
            <w:tcW w:w="991" w:type="dxa"/>
            <w:vAlign w:val="center"/>
          </w:tcPr>
          <w:p w14:paraId="073BF6DC" w14:textId="62BEE836" w:rsidR="00C04BAB" w:rsidRPr="00030DBC" w:rsidRDefault="00031177" w:rsidP="0097151B">
            <w:pPr>
              <w:pStyle w:val="7ST"/>
            </w:pPr>
            <w:r w:rsidRPr="00030DBC">
              <w:t>1.1.1.13</w:t>
            </w:r>
          </w:p>
        </w:tc>
        <w:tc>
          <w:tcPr>
            <w:tcW w:w="5496" w:type="dxa"/>
            <w:vAlign w:val="center"/>
          </w:tcPr>
          <w:p w14:paraId="2279FCD0" w14:textId="23213BD6" w:rsidR="00C04BAB" w:rsidRPr="00030DBC" w:rsidRDefault="00031177">
            <w:pPr>
              <w:pStyle w:val="8VPT"/>
            </w:pPr>
            <w:r w:rsidRPr="00030DBC">
              <w:t>Nepoužije se.</w:t>
            </w:r>
          </w:p>
        </w:tc>
      </w:tr>
      <w:tr w:rsidR="00C04BAB" w14:paraId="0E371170" w14:textId="6DDDF38A" w:rsidTr="001923A0">
        <w:trPr>
          <w:trHeight w:val="279"/>
        </w:trPr>
        <w:tc>
          <w:tcPr>
            <w:tcW w:w="3152" w:type="dxa"/>
            <w:vAlign w:val="center"/>
          </w:tcPr>
          <w:p w14:paraId="4E933627" w14:textId="1F3E47B6" w:rsidR="00C04BAB" w:rsidRPr="00030DBC" w:rsidRDefault="00031177" w:rsidP="00754FF7">
            <w:pPr>
              <w:pStyle w:val="5VlT"/>
            </w:pPr>
            <w:r w:rsidRPr="00030DBC">
              <w:t>Společné datové prostředí</w:t>
            </w:r>
          </w:p>
        </w:tc>
        <w:tc>
          <w:tcPr>
            <w:tcW w:w="991" w:type="dxa"/>
            <w:vAlign w:val="center"/>
          </w:tcPr>
          <w:p w14:paraId="009158ED" w14:textId="6545B1FD" w:rsidR="00C04BAB" w:rsidRPr="00030DBC" w:rsidRDefault="00031177" w:rsidP="0097151B">
            <w:pPr>
              <w:pStyle w:val="7ST"/>
            </w:pPr>
            <w:r w:rsidRPr="00030DBC">
              <w:t>1.1.1.14</w:t>
            </w:r>
          </w:p>
        </w:tc>
        <w:tc>
          <w:tcPr>
            <w:tcW w:w="5496" w:type="dxa"/>
            <w:vAlign w:val="center"/>
          </w:tcPr>
          <w:p w14:paraId="630D3F02" w14:textId="0FA5FCBF" w:rsidR="00C04BAB" w:rsidRPr="00030DBC" w:rsidRDefault="00031177">
            <w:pPr>
              <w:pStyle w:val="8VPT"/>
            </w:pPr>
            <w:r w:rsidRPr="00030DBC">
              <w:t>Nepoužije se.</w:t>
            </w:r>
          </w:p>
        </w:tc>
      </w:tr>
      <w:tr w:rsidR="00C04BAB" w14:paraId="6ED2C0A1" w14:textId="460327F9" w:rsidTr="001923A0">
        <w:trPr>
          <w:trHeight w:val="282"/>
        </w:trPr>
        <w:tc>
          <w:tcPr>
            <w:tcW w:w="3152" w:type="dxa"/>
            <w:vAlign w:val="center"/>
          </w:tcPr>
          <w:p w14:paraId="6A56EFDA" w14:textId="76D4F243" w:rsidR="00C04BAB" w:rsidRPr="00030DBC" w:rsidRDefault="00C04BAB" w:rsidP="00754FF7">
            <w:pPr>
              <w:pStyle w:val="5VlT"/>
            </w:pPr>
          </w:p>
        </w:tc>
        <w:tc>
          <w:tcPr>
            <w:tcW w:w="991" w:type="dxa"/>
            <w:vAlign w:val="center"/>
          </w:tcPr>
          <w:p w14:paraId="243C5DBB" w14:textId="625EDB5D" w:rsidR="00C04BAB" w:rsidRPr="00030DBC" w:rsidRDefault="00C04BAB" w:rsidP="0097151B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011A41B" w14:textId="1B3A119F" w:rsidR="00C04BAB" w:rsidRPr="00030DBC" w:rsidRDefault="005266C1">
            <w:pPr>
              <w:pStyle w:val="8VPT"/>
            </w:pPr>
            <w:r w:rsidRPr="00030DBC">
              <w:t xml:space="preserve">Z Pod-článků: </w:t>
            </w:r>
          </w:p>
          <w:p w14:paraId="0AB6485D" w14:textId="53554524" w:rsidR="005266C1" w:rsidRPr="00030DBC" w:rsidRDefault="005266C1">
            <w:pPr>
              <w:pStyle w:val="8VPT"/>
            </w:pPr>
            <w:r w:rsidRPr="00030DBC">
              <w:t>1.1.6.1</w:t>
            </w:r>
          </w:p>
          <w:p w14:paraId="55A17F6C" w14:textId="01C3893D" w:rsidR="005266C1" w:rsidRPr="00030DBC" w:rsidRDefault="005266C1">
            <w:pPr>
              <w:pStyle w:val="8VPT"/>
            </w:pPr>
            <w:r w:rsidRPr="00030DBC">
              <w:t>1.5</w:t>
            </w:r>
          </w:p>
          <w:p w14:paraId="39E8E697" w14:textId="25596E83" w:rsidR="005266C1" w:rsidRPr="00030DBC" w:rsidRDefault="005266C1">
            <w:pPr>
              <w:pStyle w:val="8VPT"/>
            </w:pPr>
            <w:r w:rsidRPr="00030DBC">
              <w:t>1.10</w:t>
            </w:r>
          </w:p>
          <w:p w14:paraId="57AB87E3" w14:textId="31465568" w:rsidR="005266C1" w:rsidRPr="00030DBC" w:rsidRDefault="005266C1">
            <w:pPr>
              <w:pStyle w:val="8VPT"/>
            </w:pPr>
            <w:r w:rsidRPr="00030DBC">
              <w:lastRenderedPageBreak/>
              <w:t>2.3</w:t>
            </w:r>
          </w:p>
          <w:p w14:paraId="601C6ED5" w14:textId="307A68A6" w:rsidR="005266C1" w:rsidRPr="00030DBC" w:rsidRDefault="002839DD">
            <w:pPr>
              <w:pStyle w:val="8VPT"/>
            </w:pPr>
            <w:r w:rsidRPr="00030DBC">
              <w:t>4.1</w:t>
            </w:r>
          </w:p>
          <w:p w14:paraId="06698FC1" w14:textId="1594B628" w:rsidR="002839DD" w:rsidRPr="00030DBC" w:rsidRDefault="002839DD">
            <w:pPr>
              <w:pStyle w:val="8VPT"/>
            </w:pPr>
            <w:r w:rsidRPr="00030DBC">
              <w:t>4.6</w:t>
            </w:r>
          </w:p>
          <w:p w14:paraId="54C682F0" w14:textId="3C117DA9" w:rsidR="002839DD" w:rsidRPr="00030DBC" w:rsidRDefault="002839DD">
            <w:pPr>
              <w:pStyle w:val="8VPT"/>
            </w:pPr>
            <w:r w:rsidRPr="00030DBC">
              <w:t>4.20</w:t>
            </w:r>
          </w:p>
          <w:p w14:paraId="3AE4991D" w14:textId="07A7A8CB" w:rsidR="002839DD" w:rsidRPr="00030DBC" w:rsidRDefault="002839DD">
            <w:pPr>
              <w:pStyle w:val="8VPT"/>
            </w:pPr>
            <w:r w:rsidRPr="00030DBC">
              <w:t>Se vypouští (resp. se nepoužijí) všechna ustanovení týkající se BIM.</w:t>
            </w:r>
          </w:p>
        </w:tc>
      </w:tr>
      <w:tr w:rsidR="0044738A" w14:paraId="2197B97C" w14:textId="77777777" w:rsidTr="001923A0">
        <w:trPr>
          <w:trHeight w:val="282"/>
        </w:trPr>
        <w:tc>
          <w:tcPr>
            <w:tcW w:w="3152" w:type="dxa"/>
            <w:vAlign w:val="center"/>
          </w:tcPr>
          <w:p w14:paraId="64E523CD" w14:textId="31EC78F8" w:rsidR="0044738A" w:rsidRDefault="0044738A" w:rsidP="00C04BAB">
            <w:pPr>
              <w:pStyle w:val="5VlT"/>
            </w:pPr>
            <w:r>
              <w:lastRenderedPageBreak/>
              <w:t>Stavební deník</w:t>
            </w:r>
          </w:p>
        </w:tc>
        <w:tc>
          <w:tcPr>
            <w:tcW w:w="991" w:type="dxa"/>
            <w:vAlign w:val="center"/>
          </w:tcPr>
          <w:p w14:paraId="459B4A23" w14:textId="4C3EB30E" w:rsidR="0044738A" w:rsidRDefault="0044738A" w:rsidP="00C04BAB">
            <w:pPr>
              <w:pStyle w:val="7ST"/>
            </w:pPr>
            <w:r>
              <w:t>1.1.1.11</w:t>
            </w:r>
          </w:p>
        </w:tc>
        <w:tc>
          <w:tcPr>
            <w:tcW w:w="5496" w:type="dxa"/>
            <w:vAlign w:val="center"/>
          </w:tcPr>
          <w:p w14:paraId="0232D73D" w14:textId="689F8CEA" w:rsidR="00A406F2" w:rsidRDefault="00A406F2" w:rsidP="00A406F2">
            <w:pPr>
              <w:pStyle w:val="8VPT"/>
            </w:pPr>
            <w:r>
              <w:t xml:space="preserve">Zhotovitel je povinen vést stavební deník v elektronické podobě a v souladu s pokyny Správce stavby. Zhotovitel je zároveň povinen zajistit přístup k elektronickému stavebnímu deníku pro </w:t>
            </w:r>
            <w:r w:rsidR="004F11A6">
              <w:t xml:space="preserve">alespoň </w:t>
            </w:r>
            <w:r>
              <w:t>10 osob.</w:t>
            </w:r>
          </w:p>
          <w:p w14:paraId="7177F24F" w14:textId="7377E67F" w:rsidR="0044738A" w:rsidRDefault="00A406F2" w:rsidP="00A406F2">
            <w:pPr>
              <w:pStyle w:val="8VPT"/>
            </w:pPr>
            <w:r>
              <w:t>Stavební deník bude předán Správci stavby po dokončení Díla postupem podle Pod-článku 10.</w:t>
            </w:r>
            <w:r w:rsidRPr="009166DD">
              <w:t>1 [</w:t>
            </w:r>
            <w:r w:rsidRPr="00540B88">
              <w:rPr>
                <w:i/>
                <w:iCs/>
              </w:rPr>
              <w:t>Převzetí díla</w:t>
            </w:r>
            <w:r>
              <w:t xml:space="preserve"> </w:t>
            </w:r>
            <w:r w:rsidRPr="00540B88">
              <w:rPr>
                <w:i/>
                <w:iCs/>
              </w:rPr>
              <w:t>a sekcí</w:t>
            </w:r>
            <w:r w:rsidRPr="009166DD">
              <w:t>]</w:t>
            </w:r>
            <w:r>
              <w:t xml:space="preserve"> v souladu s jeho pokynem</w:t>
            </w:r>
          </w:p>
        </w:tc>
      </w:tr>
      <w:tr w:rsidR="00C04BAB" w14:paraId="3014FCDD" w14:textId="77777777" w:rsidTr="001923A0">
        <w:trPr>
          <w:trHeight w:val="282"/>
        </w:trPr>
        <w:tc>
          <w:tcPr>
            <w:tcW w:w="3152" w:type="dxa"/>
            <w:vAlign w:val="center"/>
          </w:tcPr>
          <w:p w14:paraId="2634CB30" w14:textId="24BDC964" w:rsidR="00C04BAB" w:rsidRDefault="00C04BAB" w:rsidP="00C04BAB">
            <w:pPr>
              <w:pStyle w:val="5VlT"/>
            </w:pPr>
            <w:r>
              <w:t>Objednatel</w:t>
            </w:r>
          </w:p>
        </w:tc>
        <w:tc>
          <w:tcPr>
            <w:tcW w:w="991" w:type="dxa"/>
            <w:vAlign w:val="center"/>
          </w:tcPr>
          <w:p w14:paraId="5263BD17" w14:textId="1FE3C7B0" w:rsidR="00C04BAB" w:rsidRDefault="00C04BAB" w:rsidP="00C04BAB">
            <w:pPr>
              <w:pStyle w:val="7ST"/>
            </w:pPr>
            <w:r>
              <w:t>1.1.2.1</w:t>
            </w:r>
          </w:p>
        </w:tc>
        <w:tc>
          <w:tcPr>
            <w:tcW w:w="5496" w:type="dxa"/>
            <w:vAlign w:val="center"/>
          </w:tcPr>
          <w:p w14:paraId="5759EE3A" w14:textId="007073EC" w:rsidR="00C04BAB" w:rsidRDefault="00C04BAB" w:rsidP="00C04BAB">
            <w:pPr>
              <w:pStyle w:val="8VPT"/>
            </w:pPr>
            <w:r>
              <w:t>Osoba označená jako Objednatel v hlavičce Smlouvy o dílo.</w:t>
            </w:r>
          </w:p>
        </w:tc>
      </w:tr>
      <w:tr w:rsidR="00754FF7" w14:paraId="2D75A827" w14:textId="77777777" w:rsidTr="001923A0">
        <w:tc>
          <w:tcPr>
            <w:tcW w:w="3152" w:type="dxa"/>
            <w:vAlign w:val="center"/>
          </w:tcPr>
          <w:p w14:paraId="237ABE55" w14:textId="62F51DF0" w:rsidR="00754FF7" w:rsidRPr="009432A4" w:rsidRDefault="00300823" w:rsidP="00754FF7">
            <w:pPr>
              <w:pStyle w:val="5VlT"/>
            </w:pPr>
            <w:r>
              <w:t>Správce stavby</w:t>
            </w:r>
          </w:p>
        </w:tc>
        <w:tc>
          <w:tcPr>
            <w:tcW w:w="991" w:type="dxa"/>
            <w:vAlign w:val="center"/>
          </w:tcPr>
          <w:p w14:paraId="36E47887" w14:textId="708A60FE" w:rsidR="00754FF7" w:rsidRDefault="00300823" w:rsidP="0097151B">
            <w:pPr>
              <w:pStyle w:val="7ST"/>
            </w:pPr>
            <w:r>
              <w:t>1.1.2.4</w:t>
            </w:r>
          </w:p>
        </w:tc>
        <w:tc>
          <w:tcPr>
            <w:tcW w:w="5496" w:type="dxa"/>
            <w:vAlign w:val="center"/>
          </w:tcPr>
          <w:p w14:paraId="75F0AEFA" w14:textId="5D6A3024" w:rsidR="00754FF7" w:rsidRDefault="00D37F46" w:rsidP="009324DC">
            <w:pPr>
              <w:pStyle w:val="8VPT"/>
            </w:pPr>
            <w:r>
              <w:t>Ing. Pavel Maňák</w:t>
            </w:r>
          </w:p>
        </w:tc>
      </w:tr>
      <w:tr w:rsidR="00EB05C5" w14:paraId="2BAF39C9" w14:textId="77777777" w:rsidTr="001923A0">
        <w:tc>
          <w:tcPr>
            <w:tcW w:w="3152" w:type="dxa"/>
            <w:vAlign w:val="center"/>
          </w:tcPr>
          <w:p w14:paraId="5A5A9D42" w14:textId="51C53052" w:rsidR="00EB05C5" w:rsidRDefault="00EF5A1E" w:rsidP="00754FF7">
            <w:pPr>
              <w:pStyle w:val="5VlT"/>
            </w:pPr>
            <w:r>
              <w:t xml:space="preserve">Doba pro dokončení </w:t>
            </w:r>
          </w:p>
        </w:tc>
        <w:tc>
          <w:tcPr>
            <w:tcW w:w="991" w:type="dxa"/>
            <w:vAlign w:val="center"/>
          </w:tcPr>
          <w:p w14:paraId="614FC850" w14:textId="3CB56809" w:rsidR="00EB05C5" w:rsidRDefault="00EF5A1E" w:rsidP="0097151B">
            <w:pPr>
              <w:pStyle w:val="7ST"/>
            </w:pPr>
            <w:r>
              <w:t>1.1.3.3</w:t>
            </w:r>
          </w:p>
        </w:tc>
        <w:tc>
          <w:tcPr>
            <w:tcW w:w="5496" w:type="dxa"/>
            <w:vAlign w:val="center"/>
          </w:tcPr>
          <w:p w14:paraId="418DA7B2" w14:textId="33B7E0A3" w:rsidR="008E52BE" w:rsidRDefault="008E52BE" w:rsidP="00DB3C6E">
            <w:pPr>
              <w:pStyle w:val="8VPT"/>
            </w:pPr>
            <w:r>
              <w:t xml:space="preserve">Doba pro dokončení </w:t>
            </w:r>
            <w:r w:rsidRPr="001923A0">
              <w:rPr>
                <w:b/>
                <w:bCs/>
              </w:rPr>
              <w:t xml:space="preserve">sekce </w:t>
            </w:r>
            <w:r w:rsidR="00574A11" w:rsidRPr="001923A0">
              <w:rPr>
                <w:b/>
                <w:bCs/>
              </w:rPr>
              <w:t>A</w:t>
            </w:r>
            <w:r>
              <w:t xml:space="preserve"> </w:t>
            </w:r>
            <w:r w:rsidRPr="00017B99">
              <w:t xml:space="preserve">nejpozději do </w:t>
            </w:r>
            <w:r>
              <w:rPr>
                <w:b/>
              </w:rPr>
              <w:t>1</w:t>
            </w:r>
            <w:r w:rsidR="00E6588F">
              <w:rPr>
                <w:b/>
              </w:rPr>
              <w:t>9</w:t>
            </w:r>
            <w:r>
              <w:rPr>
                <w:b/>
              </w:rPr>
              <w:t xml:space="preserve">. </w:t>
            </w:r>
            <w:r w:rsidR="00E6588F">
              <w:rPr>
                <w:b/>
              </w:rPr>
              <w:t>1</w:t>
            </w:r>
            <w:r>
              <w:rPr>
                <w:b/>
              </w:rPr>
              <w:t>2. 202</w:t>
            </w:r>
            <w:r w:rsidR="00E6588F">
              <w:rPr>
                <w:b/>
              </w:rPr>
              <w:t>5</w:t>
            </w:r>
          </w:p>
          <w:p w14:paraId="4CC48F03" w14:textId="01DD00D4" w:rsidR="00EB05C5" w:rsidRPr="00017B99" w:rsidRDefault="008E52BE" w:rsidP="00DB3C6E">
            <w:pPr>
              <w:pStyle w:val="8VPT"/>
            </w:pPr>
            <w:r>
              <w:t xml:space="preserve">Doba pro dokončení </w:t>
            </w:r>
            <w:r w:rsidRPr="001923A0">
              <w:rPr>
                <w:b/>
                <w:bCs/>
              </w:rPr>
              <w:t xml:space="preserve">sekce </w:t>
            </w:r>
            <w:r w:rsidR="00574A11" w:rsidRPr="001923A0">
              <w:rPr>
                <w:b/>
                <w:bCs/>
              </w:rPr>
              <w:t>B</w:t>
            </w:r>
            <w:r>
              <w:t xml:space="preserve"> </w:t>
            </w:r>
            <w:r w:rsidR="00D73261" w:rsidRPr="00017B99">
              <w:t xml:space="preserve">nejpozději do </w:t>
            </w:r>
            <w:r w:rsidR="00D73261">
              <w:rPr>
                <w:b/>
              </w:rPr>
              <w:t xml:space="preserve">31. </w:t>
            </w:r>
            <w:r w:rsidR="00EA6342">
              <w:rPr>
                <w:b/>
              </w:rPr>
              <w:t>6</w:t>
            </w:r>
            <w:r w:rsidR="00D73261">
              <w:rPr>
                <w:b/>
              </w:rPr>
              <w:t>. 2027</w:t>
            </w:r>
          </w:p>
        </w:tc>
      </w:tr>
      <w:tr w:rsidR="00F01E45" w14:paraId="159F0BAD" w14:textId="77777777" w:rsidTr="001923A0">
        <w:tc>
          <w:tcPr>
            <w:tcW w:w="3152" w:type="dxa"/>
            <w:vAlign w:val="center"/>
          </w:tcPr>
          <w:p w14:paraId="00929D89" w14:textId="118FABD7" w:rsidR="00F01E45" w:rsidRDefault="00F01E45" w:rsidP="00754FF7">
            <w:pPr>
              <w:pStyle w:val="5VlT"/>
            </w:pPr>
            <w:r>
              <w:t>Zkoušky po dokončení</w:t>
            </w:r>
          </w:p>
        </w:tc>
        <w:tc>
          <w:tcPr>
            <w:tcW w:w="991" w:type="dxa"/>
            <w:vAlign w:val="center"/>
          </w:tcPr>
          <w:p w14:paraId="13B22F1E" w14:textId="4FC00F3A" w:rsidR="00F01E45" w:rsidRDefault="00F01E45" w:rsidP="0097151B">
            <w:pPr>
              <w:pStyle w:val="7ST"/>
            </w:pPr>
            <w:r>
              <w:t>1.1.3.6</w:t>
            </w:r>
          </w:p>
        </w:tc>
        <w:tc>
          <w:tcPr>
            <w:tcW w:w="5496" w:type="dxa"/>
            <w:vAlign w:val="center"/>
          </w:tcPr>
          <w:p w14:paraId="05D3B12F" w14:textId="77777777" w:rsidR="00A67DFE" w:rsidRDefault="00A67DFE">
            <w:pPr>
              <w:pStyle w:val="8VPT"/>
            </w:pPr>
            <w:r w:rsidRPr="007151C5">
              <w:t>Zhotovitel bude povinen provést následující zkoušky po dokončení:</w:t>
            </w:r>
          </w:p>
          <w:p w14:paraId="35C65B08" w14:textId="0B3E36E9" w:rsidR="00A67DFE" w:rsidRDefault="004F11A6" w:rsidP="004F11A6">
            <w:pPr>
              <w:pStyle w:val="8VPT"/>
              <w:numPr>
                <w:ilvl w:val="0"/>
                <w:numId w:val="5"/>
              </w:numPr>
            </w:pPr>
            <w:r>
              <w:t>zkoušky hrazení a vyhrazení vorové propusti a rybího přechodu</w:t>
            </w:r>
            <w:r w:rsidRPr="00A67DFE">
              <w:rPr>
                <w:highlight w:val="yellow"/>
              </w:rPr>
              <w:t xml:space="preserve"> </w:t>
            </w:r>
          </w:p>
        </w:tc>
      </w:tr>
      <w:tr w:rsidR="00754FF7" w14:paraId="16A8A630" w14:textId="77777777" w:rsidTr="001923A0">
        <w:tc>
          <w:tcPr>
            <w:tcW w:w="3152" w:type="dxa"/>
            <w:vAlign w:val="center"/>
          </w:tcPr>
          <w:p w14:paraId="29BC3D61" w14:textId="0288B80E" w:rsidR="00754FF7" w:rsidRPr="009432A4" w:rsidRDefault="00074EFA" w:rsidP="00754FF7">
            <w:pPr>
              <w:pStyle w:val="5VlT"/>
            </w:pPr>
            <w:r>
              <w:t>Záruční doba</w:t>
            </w:r>
          </w:p>
        </w:tc>
        <w:tc>
          <w:tcPr>
            <w:tcW w:w="991" w:type="dxa"/>
            <w:vAlign w:val="center"/>
          </w:tcPr>
          <w:p w14:paraId="358B899B" w14:textId="617327F3" w:rsidR="00754FF7" w:rsidRDefault="00074EFA" w:rsidP="0097151B">
            <w:pPr>
              <w:pStyle w:val="7ST"/>
            </w:pPr>
            <w:r>
              <w:t>1.1.3.</w:t>
            </w:r>
            <w:r w:rsidR="00847891">
              <w:t>7</w:t>
            </w:r>
          </w:p>
        </w:tc>
        <w:tc>
          <w:tcPr>
            <w:tcW w:w="5496" w:type="dxa"/>
            <w:vAlign w:val="center"/>
          </w:tcPr>
          <w:p w14:paraId="452AD135" w14:textId="6CCD4FC0" w:rsidR="000219F4" w:rsidRDefault="00074EFA" w:rsidP="00BC3732">
            <w:pPr>
              <w:pStyle w:val="8VPT"/>
            </w:pPr>
            <w:r>
              <w:t xml:space="preserve">Délka: </w:t>
            </w:r>
            <w:r w:rsidRPr="007151C5">
              <w:t>60</w:t>
            </w:r>
            <w:r>
              <w:t xml:space="preserve"> měsíců</w:t>
            </w:r>
            <w:r w:rsidR="008060D7">
              <w:t xml:space="preserve"> samostatně na každou </w:t>
            </w:r>
            <w:r w:rsidR="00071A9B">
              <w:t>sekci</w:t>
            </w:r>
          </w:p>
        </w:tc>
      </w:tr>
      <w:tr w:rsidR="00754FF7" w14:paraId="20FB311B" w14:textId="77777777" w:rsidTr="001923A0">
        <w:tc>
          <w:tcPr>
            <w:tcW w:w="3152" w:type="dxa"/>
            <w:vAlign w:val="center"/>
          </w:tcPr>
          <w:p w14:paraId="5EFC414C" w14:textId="1ECA32C6" w:rsidR="00754FF7" w:rsidRPr="009432A4" w:rsidRDefault="00297C1E" w:rsidP="00754FF7">
            <w:pPr>
              <w:pStyle w:val="5VlT"/>
            </w:pPr>
            <w:r>
              <w:t>Předčasné užívání</w:t>
            </w:r>
          </w:p>
        </w:tc>
        <w:tc>
          <w:tcPr>
            <w:tcW w:w="991" w:type="dxa"/>
            <w:vAlign w:val="center"/>
          </w:tcPr>
          <w:p w14:paraId="0E61F3DA" w14:textId="23C2C7BD" w:rsidR="00754FF7" w:rsidRDefault="00CA4540" w:rsidP="0097151B">
            <w:pPr>
              <w:pStyle w:val="7ST"/>
            </w:pPr>
            <w:r>
              <w:t>1.1.3.10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5ED4B39B" w14:textId="69E56B9F" w:rsidR="00297C1E" w:rsidRPr="00071A9B" w:rsidRDefault="00CA4540" w:rsidP="00BC3732">
            <w:pPr>
              <w:pStyle w:val="8VPT"/>
            </w:pPr>
            <w:r w:rsidRPr="007151C5">
              <w:t>Nepoužije se.</w:t>
            </w:r>
          </w:p>
        </w:tc>
      </w:tr>
      <w:tr w:rsidR="00072517" w14:paraId="14592419" w14:textId="77777777" w:rsidTr="001923A0">
        <w:tc>
          <w:tcPr>
            <w:tcW w:w="3152" w:type="dxa"/>
            <w:vAlign w:val="center"/>
          </w:tcPr>
          <w:p w14:paraId="6CC90386" w14:textId="04AAD0AD" w:rsidR="00072517" w:rsidRDefault="00072517" w:rsidP="00754FF7">
            <w:pPr>
              <w:pStyle w:val="5VlT"/>
            </w:pPr>
            <w:r>
              <w:t>Zkušení provoz</w:t>
            </w:r>
          </w:p>
        </w:tc>
        <w:tc>
          <w:tcPr>
            <w:tcW w:w="991" w:type="dxa"/>
            <w:vAlign w:val="center"/>
          </w:tcPr>
          <w:p w14:paraId="76990D29" w14:textId="6F55E839" w:rsidR="00072517" w:rsidRDefault="00072517" w:rsidP="0097151B">
            <w:pPr>
              <w:pStyle w:val="7ST"/>
            </w:pPr>
            <w:r>
              <w:t>1.1.3.11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689AC3DF" w14:textId="3BF4BCE7" w:rsidR="00072517" w:rsidRPr="007151C5" w:rsidRDefault="00072517" w:rsidP="00BC3732">
            <w:pPr>
              <w:pStyle w:val="8VPT"/>
            </w:pPr>
            <w:r w:rsidRPr="007151C5">
              <w:t>Nepoužije se.</w:t>
            </w:r>
          </w:p>
        </w:tc>
      </w:tr>
      <w:tr w:rsidR="00072517" w14:paraId="10453237" w14:textId="77777777" w:rsidTr="001923A0">
        <w:tc>
          <w:tcPr>
            <w:tcW w:w="3152" w:type="dxa"/>
            <w:vAlign w:val="center"/>
          </w:tcPr>
          <w:p w14:paraId="14A521D4" w14:textId="321C4E6A" w:rsidR="00072517" w:rsidRDefault="00072517" w:rsidP="00072517">
            <w:pPr>
              <w:pStyle w:val="5VlT"/>
            </w:pPr>
            <w:r>
              <w:t>Ověření funkčnosti Díla nebo Sekce</w:t>
            </w:r>
          </w:p>
        </w:tc>
        <w:tc>
          <w:tcPr>
            <w:tcW w:w="991" w:type="dxa"/>
            <w:vAlign w:val="center"/>
          </w:tcPr>
          <w:p w14:paraId="1E0F78A4" w14:textId="6886DD15" w:rsidR="00072517" w:rsidRDefault="00072517" w:rsidP="00072517">
            <w:pPr>
              <w:pStyle w:val="7ST"/>
            </w:pPr>
            <w:r>
              <w:t>1.1.3.12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5293EF03" w14:textId="6E5DA624" w:rsidR="00072517" w:rsidRPr="007151C5" w:rsidRDefault="00072517" w:rsidP="00072517">
            <w:pPr>
              <w:pStyle w:val="8VPT"/>
            </w:pPr>
            <w:r w:rsidRPr="007151C5">
              <w:t>Nepoužije se.</w:t>
            </w:r>
          </w:p>
        </w:tc>
      </w:tr>
      <w:tr w:rsidR="00072517" w14:paraId="23C7ABA9" w14:textId="77777777" w:rsidTr="001923A0">
        <w:tc>
          <w:tcPr>
            <w:tcW w:w="3152" w:type="dxa"/>
            <w:vAlign w:val="center"/>
          </w:tcPr>
          <w:p w14:paraId="5644501F" w14:textId="3E114B09" w:rsidR="00072517" w:rsidRDefault="00072517" w:rsidP="00072517">
            <w:pPr>
              <w:pStyle w:val="5VlT"/>
            </w:pPr>
            <w:r>
              <w:t>Podmíněný obnos</w:t>
            </w:r>
          </w:p>
        </w:tc>
        <w:tc>
          <w:tcPr>
            <w:tcW w:w="991" w:type="dxa"/>
            <w:vAlign w:val="center"/>
          </w:tcPr>
          <w:p w14:paraId="15C2A834" w14:textId="38786D8A" w:rsidR="00072517" w:rsidRDefault="00072517" w:rsidP="00072517">
            <w:pPr>
              <w:pStyle w:val="7ST"/>
            </w:pPr>
            <w:r>
              <w:t>1.1.4.10</w:t>
            </w:r>
          </w:p>
        </w:tc>
        <w:tc>
          <w:tcPr>
            <w:tcW w:w="5496" w:type="dxa"/>
            <w:shd w:val="clear" w:color="auto" w:fill="auto"/>
            <w:vAlign w:val="center"/>
          </w:tcPr>
          <w:p w14:paraId="67BB9ECA" w14:textId="0DBF6A0E" w:rsidR="00072517" w:rsidRDefault="00072517" w:rsidP="00072517">
            <w:pPr>
              <w:pStyle w:val="8VPT"/>
            </w:pPr>
            <w:r>
              <w:t>Nepoužije se.</w:t>
            </w:r>
          </w:p>
        </w:tc>
      </w:tr>
      <w:tr w:rsidR="00072517" w14:paraId="331841D7" w14:textId="77777777" w:rsidTr="001923A0">
        <w:tc>
          <w:tcPr>
            <w:tcW w:w="3152" w:type="dxa"/>
            <w:vAlign w:val="center"/>
          </w:tcPr>
          <w:p w14:paraId="5F978C95" w14:textId="3D3DAE5C" w:rsidR="00072517" w:rsidRPr="009432A4" w:rsidRDefault="00072517" w:rsidP="00072517">
            <w:pPr>
              <w:pStyle w:val="5VlT"/>
            </w:pPr>
            <w:r>
              <w:t>Sekce</w:t>
            </w:r>
          </w:p>
        </w:tc>
        <w:tc>
          <w:tcPr>
            <w:tcW w:w="991" w:type="dxa"/>
            <w:vAlign w:val="center"/>
          </w:tcPr>
          <w:p w14:paraId="53F91DAC" w14:textId="0256CF13" w:rsidR="00072517" w:rsidRDefault="00072517" w:rsidP="00072517">
            <w:pPr>
              <w:pStyle w:val="7ST"/>
            </w:pPr>
            <w:r>
              <w:t>1.1.5.6</w:t>
            </w:r>
          </w:p>
        </w:tc>
        <w:tc>
          <w:tcPr>
            <w:tcW w:w="5496" w:type="dxa"/>
            <w:vAlign w:val="center"/>
          </w:tcPr>
          <w:p w14:paraId="2967D047" w14:textId="77777777" w:rsidR="009B7FF5" w:rsidRPr="00A935F8" w:rsidRDefault="009B7FF5" w:rsidP="00072517">
            <w:pPr>
              <w:pStyle w:val="8VPT"/>
            </w:pPr>
            <w:r w:rsidRPr="00A935F8">
              <w:t>Dílo je rozděleno na následující sekce:</w:t>
            </w:r>
          </w:p>
          <w:p w14:paraId="699AA9BF" w14:textId="4621E2A5" w:rsidR="00EC0802" w:rsidRDefault="00F82A5B" w:rsidP="00B25AAB">
            <w:pPr>
              <w:pStyle w:val="8VPT"/>
              <w:numPr>
                <w:ilvl w:val="0"/>
                <w:numId w:val="14"/>
              </w:numPr>
            </w:pPr>
            <w:r>
              <w:rPr>
                <w:b/>
                <w:bCs/>
                <w:u w:val="single"/>
              </w:rPr>
              <w:t xml:space="preserve">Sekce </w:t>
            </w:r>
            <w:r w:rsidR="00574A11">
              <w:rPr>
                <w:b/>
                <w:bCs/>
                <w:u w:val="single"/>
              </w:rPr>
              <w:t>A</w:t>
            </w:r>
            <w:r>
              <w:rPr>
                <w:b/>
                <w:bCs/>
                <w:u w:val="single"/>
              </w:rPr>
              <w:t xml:space="preserve">: </w:t>
            </w:r>
            <w:r w:rsidR="00D125B1">
              <w:t xml:space="preserve">SO 02 </w:t>
            </w:r>
            <w:r w:rsidR="00EC0802">
              <w:t>Rybí přechod</w:t>
            </w:r>
            <w:r w:rsidR="00AC49B4">
              <w:t>; PS 02 Lávk</w:t>
            </w:r>
            <w:r w:rsidR="00D616C0">
              <w:t>y</w:t>
            </w:r>
            <w:r w:rsidR="00AC49B4">
              <w:t xml:space="preserve"> přes RP</w:t>
            </w:r>
            <w:r w:rsidR="00D616C0">
              <w:t>; VON_</w:t>
            </w:r>
            <w:r w:rsidR="005505B1">
              <w:t>2</w:t>
            </w:r>
            <w:r w:rsidR="00D616C0">
              <w:t xml:space="preserve"> Vedlejší a ostatní náklady – PS 0</w:t>
            </w:r>
            <w:r w:rsidR="005505B1">
              <w:t>2</w:t>
            </w:r>
            <w:r w:rsidR="00D616C0">
              <w:t>, SO 0</w:t>
            </w:r>
            <w:r w:rsidR="005505B1">
              <w:t>2</w:t>
            </w:r>
          </w:p>
          <w:p w14:paraId="66BC5006" w14:textId="5F46A246" w:rsidR="009B7FF5" w:rsidRDefault="00F82A5B" w:rsidP="00B25AAB">
            <w:pPr>
              <w:pStyle w:val="8VPT"/>
              <w:numPr>
                <w:ilvl w:val="0"/>
                <w:numId w:val="14"/>
              </w:numPr>
            </w:pPr>
            <w:r>
              <w:rPr>
                <w:b/>
                <w:bCs/>
                <w:u w:val="single"/>
              </w:rPr>
              <w:t xml:space="preserve">Sekce </w:t>
            </w:r>
            <w:r w:rsidR="00574A11">
              <w:rPr>
                <w:b/>
                <w:bCs/>
                <w:u w:val="single"/>
              </w:rPr>
              <w:t>B</w:t>
            </w:r>
            <w:r w:rsidR="00C323A3" w:rsidRPr="00155FEF">
              <w:rPr>
                <w:b/>
                <w:bCs/>
                <w:u w:val="single"/>
              </w:rPr>
              <w:t>:</w:t>
            </w:r>
            <w:r w:rsidR="00C323A3">
              <w:rPr>
                <w:b/>
                <w:bCs/>
                <w:u w:val="single"/>
              </w:rPr>
              <w:t xml:space="preserve"> </w:t>
            </w:r>
            <w:r w:rsidR="00905555">
              <w:t xml:space="preserve">SO 01 Jez; </w:t>
            </w:r>
            <w:r w:rsidR="00AC49B4">
              <w:t xml:space="preserve">PS 01 </w:t>
            </w:r>
            <w:r w:rsidR="00D616C0">
              <w:t>Lávka pro vodáky; VON_</w:t>
            </w:r>
            <w:r w:rsidR="005505B1">
              <w:t>1</w:t>
            </w:r>
            <w:r w:rsidR="00D616C0">
              <w:t xml:space="preserve"> Vedlejší a ostatní náklady – PS 0</w:t>
            </w:r>
            <w:r w:rsidR="005505B1">
              <w:t>1</w:t>
            </w:r>
            <w:r w:rsidR="00D616C0">
              <w:t>, SO 0</w:t>
            </w:r>
            <w:r w:rsidR="005505B1">
              <w:t>1</w:t>
            </w:r>
            <w:r w:rsidR="000853E8">
              <w:t>;</w:t>
            </w:r>
            <w:r w:rsidR="00C314E0">
              <w:t xml:space="preserve"> </w:t>
            </w:r>
            <w:r w:rsidR="00C314E0" w:rsidRPr="00C314E0">
              <w:t>DK – Dočasné konstrukce a práce</w:t>
            </w:r>
          </w:p>
          <w:p w14:paraId="5ADE76E8" w14:textId="77777777" w:rsidR="00557B7D" w:rsidRDefault="00557B7D" w:rsidP="00557B7D">
            <w:pPr>
              <w:pStyle w:val="8VPT"/>
            </w:pPr>
            <w:r>
              <w:t>Které jsou podrobně specifikovány v Technické specifikaci a Výkresech.</w:t>
            </w:r>
          </w:p>
          <w:p w14:paraId="55344257" w14:textId="77777777" w:rsidR="00911765" w:rsidRPr="00C34A23" w:rsidRDefault="00911765" w:rsidP="00911765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Pokud:</w:t>
            </w:r>
          </w:p>
          <w:p w14:paraId="50E1E60F" w14:textId="77777777" w:rsidR="00911765" w:rsidRPr="00C34A23" w:rsidRDefault="00911765" w:rsidP="00911765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není dále stanoveno jinak;</w:t>
            </w:r>
          </w:p>
          <w:p w14:paraId="0543C138" w14:textId="77777777" w:rsidR="00911765" w:rsidRPr="00C34A23" w:rsidRDefault="00911765" w:rsidP="00911765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neurčil Správce stavby jinak; nebo</w:t>
            </w:r>
          </w:p>
          <w:p w14:paraId="135826D0" w14:textId="77777777" w:rsidR="00911765" w:rsidRPr="00C34A23" w:rsidRDefault="00911765" w:rsidP="00911765">
            <w:pPr>
              <w:pStyle w:val="x8vpt"/>
              <w:numPr>
                <w:ilvl w:val="0"/>
                <w:numId w:val="12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lastRenderedPageBreak/>
              <w:t>to není vyloučeno z povahy určité povinnosti,</w:t>
            </w:r>
          </w:p>
          <w:p w14:paraId="37D5A625" w14:textId="77777777" w:rsidR="00911765" w:rsidRPr="00C34A23" w:rsidRDefault="00911765" w:rsidP="00911765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Strany každou svou povinnost vyplývající ze Smlouvy plnit ve vztahu ke každé Sekci samostatně (to se týká např. úkonů souvisejících s Dokumenty zhotovitele, vedením Stavebních deníků nebo jiných evidencí, Vyúčtováním nebo Fakturami).</w:t>
            </w:r>
          </w:p>
          <w:p w14:paraId="1A53B635" w14:textId="77777777" w:rsidR="00911765" w:rsidRPr="00C34A23" w:rsidRDefault="00911765" w:rsidP="00911765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Pokud Správce stavby neurčil jinak, musí být částky za provedené práce, které se týkají více Sekcí, rozděleny mezi Vyúčtování a Faktury vystavené pro jednotlivé Sekce podle skutečného přínosu takových prací k dokončení každé Sekce, nebo, pokud nelze takový přínos stanovit, rovným dílem.</w:t>
            </w:r>
          </w:p>
          <w:p w14:paraId="1881BDCA" w14:textId="77777777" w:rsidR="00911765" w:rsidRPr="00C34A23" w:rsidRDefault="00911765" w:rsidP="00911765">
            <w:pPr>
              <w:pStyle w:val="x8vpt"/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Povinnosti týkající se:</w:t>
            </w:r>
          </w:p>
          <w:p w14:paraId="445A9A24" w14:textId="77777777" w:rsidR="00911765" w:rsidRPr="00C34A23" w:rsidRDefault="00911765" w:rsidP="00911765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Zajištění splnění smlouvy;</w:t>
            </w:r>
          </w:p>
          <w:p w14:paraId="62D833EA" w14:textId="77777777" w:rsidR="00911765" w:rsidRPr="00C34A23" w:rsidRDefault="00911765" w:rsidP="00911765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Style w:val="xui-provider"/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pojištění Zhotovitele; a</w:t>
            </w:r>
          </w:p>
          <w:p w14:paraId="1B4C73DF" w14:textId="77777777" w:rsidR="00911765" w:rsidRPr="00C34A23" w:rsidRDefault="00911765" w:rsidP="00911765">
            <w:pPr>
              <w:pStyle w:val="x8vpt"/>
              <w:numPr>
                <w:ilvl w:val="0"/>
                <w:numId w:val="13"/>
              </w:numPr>
              <w:shd w:val="clear" w:color="auto" w:fill="FFFFFF" w:themeFill="background1"/>
              <w:spacing w:before="0" w:after="0"/>
              <w:rPr>
                <w:rFonts w:ascii="Arial" w:hAnsi="Arial" w:cs="Arial"/>
                <w:color w:val="242424"/>
                <w:sz w:val="20"/>
                <w:szCs w:val="20"/>
              </w:rPr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sociální odpovědnosti</w:t>
            </w:r>
          </w:p>
          <w:p w14:paraId="16F43EC1" w14:textId="78B14085" w:rsidR="00D04CA4" w:rsidRPr="00A935F8" w:rsidRDefault="00911765" w:rsidP="00911765">
            <w:pPr>
              <w:pStyle w:val="x8vpt"/>
              <w:shd w:val="clear" w:color="auto" w:fill="FFFFFF" w:themeFill="background1"/>
              <w:spacing w:before="0" w:after="0"/>
            </w:pPr>
            <w:r w:rsidRPr="00C34A23">
              <w:rPr>
                <w:rFonts w:ascii="Arial" w:hAnsi="Arial" w:cs="Arial"/>
                <w:color w:val="242424"/>
                <w:sz w:val="20"/>
                <w:szCs w:val="20"/>
                <w:bdr w:val="none" w:sz="0" w:space="0" w:color="auto" w:frame="1"/>
              </w:rPr>
              <w:t>musí Zhotovitel splnit ve vztahu k Dílu jako celku bez ohledu na jeho rozdělení na Sekce.</w:t>
            </w:r>
          </w:p>
        </w:tc>
      </w:tr>
      <w:tr w:rsidR="00072517" w14:paraId="7767EA15" w14:textId="77777777" w:rsidTr="001923A0">
        <w:tc>
          <w:tcPr>
            <w:tcW w:w="3152" w:type="dxa"/>
            <w:vAlign w:val="center"/>
          </w:tcPr>
          <w:p w14:paraId="44A292C6" w14:textId="47CBE9CE" w:rsidR="00072517" w:rsidRPr="009432A4" w:rsidRDefault="00072517" w:rsidP="00072517">
            <w:pPr>
              <w:pStyle w:val="5VlT"/>
            </w:pPr>
            <w:r>
              <w:lastRenderedPageBreak/>
              <w:t>Přístupové cesty</w:t>
            </w:r>
          </w:p>
        </w:tc>
        <w:tc>
          <w:tcPr>
            <w:tcW w:w="991" w:type="dxa"/>
            <w:vAlign w:val="center"/>
          </w:tcPr>
          <w:p w14:paraId="2BE57C37" w14:textId="74D5604B" w:rsidR="00072517" w:rsidRDefault="00072517" w:rsidP="00072517">
            <w:pPr>
              <w:pStyle w:val="7ST"/>
            </w:pPr>
            <w:r>
              <w:t>1.1.6.11</w:t>
            </w:r>
          </w:p>
        </w:tc>
        <w:tc>
          <w:tcPr>
            <w:tcW w:w="5496" w:type="dxa"/>
            <w:vAlign w:val="center"/>
          </w:tcPr>
          <w:p w14:paraId="1DDB0BFF" w14:textId="3D590D49" w:rsidR="00072517" w:rsidRDefault="001B256D" w:rsidP="00072517">
            <w:pPr>
              <w:pStyle w:val="8VPT"/>
            </w:pPr>
            <w:r w:rsidRPr="00FD5C04">
              <w:t>Ve vztahu k přístupovým cestám se n</w:t>
            </w:r>
            <w:r w:rsidR="00072517" w:rsidRPr="00FD5C04">
              <w:t>estanovuje jinak</w:t>
            </w:r>
            <w:r w:rsidR="009C5940">
              <w:t>,</w:t>
            </w:r>
            <w:r w:rsidR="00AB5CFA" w:rsidRPr="00FD5C04">
              <w:t xml:space="preserve"> než je uvedeno ve Smlouvě</w:t>
            </w:r>
            <w:r w:rsidR="00072517" w:rsidRPr="00FD5C04">
              <w:t>.</w:t>
            </w:r>
          </w:p>
        </w:tc>
      </w:tr>
      <w:tr w:rsidR="00072517" w14:paraId="1985A410" w14:textId="77777777" w:rsidTr="001923A0">
        <w:tc>
          <w:tcPr>
            <w:tcW w:w="3152" w:type="dxa"/>
            <w:vAlign w:val="center"/>
          </w:tcPr>
          <w:p w14:paraId="688C2D86" w14:textId="018F1872" w:rsidR="00072517" w:rsidRPr="009432A4" w:rsidRDefault="00072517" w:rsidP="00072517">
            <w:pPr>
              <w:pStyle w:val="5VlT"/>
            </w:pPr>
            <w:r>
              <w:t>Komunikační prostředky</w:t>
            </w:r>
          </w:p>
        </w:tc>
        <w:tc>
          <w:tcPr>
            <w:tcW w:w="991" w:type="dxa"/>
            <w:vAlign w:val="center"/>
          </w:tcPr>
          <w:p w14:paraId="64BB5E4C" w14:textId="69A99112" w:rsidR="00072517" w:rsidRDefault="00072517" w:rsidP="00072517">
            <w:pPr>
              <w:pStyle w:val="7ST"/>
            </w:pPr>
            <w:r>
              <w:t>1.3</w:t>
            </w:r>
          </w:p>
        </w:tc>
        <w:tc>
          <w:tcPr>
            <w:tcW w:w="5496" w:type="dxa"/>
            <w:vAlign w:val="center"/>
          </w:tcPr>
          <w:p w14:paraId="146D3DDB" w14:textId="240EF9AA" w:rsidR="00072517" w:rsidRDefault="00072517" w:rsidP="00072517">
            <w:pPr>
              <w:pStyle w:val="8VPT"/>
            </w:pPr>
            <w:r>
              <w:t>Za dohodnutý systém elektronického přenosu dle písm. (a) uvedeného Pod-článku se považují datové schránky Stran, jejichž ID jsou uvedeny v hlavičce Smlouvy o dílo a e-mailové adresy Správce stavby, oprávněného Personálu objednatele a Zástupce zhotovitele, které jsou tyto osoby povinny zapsat do Stavebního deníku.</w:t>
            </w:r>
          </w:p>
          <w:p w14:paraId="031D63AD" w14:textId="51DDBEF4" w:rsidR="00072517" w:rsidRDefault="00072517" w:rsidP="00072517">
            <w:pPr>
              <w:pStyle w:val="8VPT"/>
            </w:pPr>
            <w:r>
              <w:t>Adresami příjemců komunikace dle písm. (b) uvedeného Pod-článku jsou v případě Stran jejich Sídla uvedená v hlavičce Smlouvy o dílo.</w:t>
            </w:r>
          </w:p>
        </w:tc>
      </w:tr>
      <w:tr w:rsidR="00072517" w14:paraId="37673FA0" w14:textId="77777777" w:rsidTr="001923A0">
        <w:tc>
          <w:tcPr>
            <w:tcW w:w="3152" w:type="dxa"/>
            <w:vAlign w:val="center"/>
          </w:tcPr>
          <w:p w14:paraId="36F3C6D8" w14:textId="4982092F" w:rsidR="00072517" w:rsidRPr="009432A4" w:rsidRDefault="00072517" w:rsidP="00072517">
            <w:pPr>
              <w:pStyle w:val="5VlT"/>
            </w:pPr>
            <w:r>
              <w:t>Právo a jazyk</w:t>
            </w:r>
          </w:p>
        </w:tc>
        <w:tc>
          <w:tcPr>
            <w:tcW w:w="991" w:type="dxa"/>
            <w:vAlign w:val="center"/>
          </w:tcPr>
          <w:p w14:paraId="41200C75" w14:textId="1CA73EE5" w:rsidR="00072517" w:rsidRDefault="00072517" w:rsidP="00072517">
            <w:pPr>
              <w:pStyle w:val="7ST"/>
            </w:pPr>
            <w:r>
              <w:t>1.4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3A008FD" w14:textId="77777777" w:rsidR="00072517" w:rsidRDefault="00072517" w:rsidP="00072517">
            <w:pPr>
              <w:pStyle w:val="8VPT"/>
            </w:pPr>
            <w:r>
              <w:t>Smlouva se řídí právem České republiky.</w:t>
            </w:r>
          </w:p>
          <w:p w14:paraId="058AC2FE" w14:textId="28D63C0F" w:rsidR="00072517" w:rsidRDefault="00072517" w:rsidP="00072517">
            <w:pPr>
              <w:pStyle w:val="8VPT"/>
            </w:pPr>
            <w:r>
              <w:t>Jazykem pro komunikaci je český jazyk.</w:t>
            </w:r>
          </w:p>
        </w:tc>
      </w:tr>
      <w:tr w:rsidR="00072517" w14:paraId="232B00AD" w14:textId="77777777" w:rsidTr="001923A0">
        <w:tc>
          <w:tcPr>
            <w:tcW w:w="3152" w:type="dxa"/>
            <w:vAlign w:val="center"/>
          </w:tcPr>
          <w:p w14:paraId="0F009D31" w14:textId="23B28198" w:rsidR="00072517" w:rsidRPr="009432A4" w:rsidRDefault="00072517" w:rsidP="00072517">
            <w:pPr>
              <w:pStyle w:val="5VlT"/>
            </w:pPr>
            <w:r>
              <w:t>Hierarchie smluvních dokumentů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259B1FE4" w14:textId="12225B98" w:rsidR="00072517" w:rsidRDefault="00072517" w:rsidP="00072517">
            <w:pPr>
              <w:pStyle w:val="7ST"/>
            </w:pPr>
            <w:r>
              <w:t>1.5</w:t>
            </w:r>
          </w:p>
        </w:tc>
        <w:tc>
          <w:tcPr>
            <w:tcW w:w="5496" w:type="dxa"/>
            <w:tcBorders>
              <w:tl2br w:val="nil"/>
            </w:tcBorders>
            <w:vAlign w:val="center"/>
          </w:tcPr>
          <w:p w14:paraId="4B23456B" w14:textId="41F5CA76" w:rsidR="00072517" w:rsidRDefault="00975B84" w:rsidP="00072517">
            <w:pPr>
              <w:pStyle w:val="8VPT"/>
            </w:pPr>
            <w:r>
              <w:t>Dva</w:t>
            </w:r>
            <w:r w:rsidR="00FD5C04">
              <w:t xml:space="preserve"> </w:t>
            </w:r>
            <w:r w:rsidR="00072517">
              <w:t>níže uvedené řádky slouží pouze jako definice bez jakéhokoliv vlivu na pořadí závaznosti jednotlivých dokumentů.</w:t>
            </w:r>
          </w:p>
        </w:tc>
      </w:tr>
      <w:tr w:rsidR="00072517" w14:paraId="7AE50B1E" w14:textId="77777777" w:rsidTr="001923A0">
        <w:tc>
          <w:tcPr>
            <w:tcW w:w="3152" w:type="dxa"/>
            <w:vAlign w:val="center"/>
          </w:tcPr>
          <w:p w14:paraId="43C5A86A" w14:textId="28CFA866" w:rsidR="00072517" w:rsidRPr="009432A4" w:rsidRDefault="00072517" w:rsidP="00072517">
            <w:pPr>
              <w:pStyle w:val="6VlPT"/>
            </w:pPr>
            <w:r>
              <w:t>Zvláštní podmínky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</w:tcPr>
          <w:p w14:paraId="10DAD3DC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FBC6BF3" w14:textId="5FB11CF4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1BF7AF9D" w14:textId="1FA26DB4" w:rsidR="00072517" w:rsidRDefault="00072517" w:rsidP="00072517">
            <w:pPr>
              <w:pStyle w:val="8VPT"/>
            </w:pPr>
            <w:r>
              <w:t xml:space="preserve">Zvláštní podmínky pro výstavbu </w:t>
            </w:r>
            <w:r w:rsidR="00F12226">
              <w:t>prováděnou v rámci resortu ministerstva dopravy a ministerstva zemědělství podniky Povodí a Ředitelstvím vodních cest ČR</w:t>
            </w:r>
          </w:p>
          <w:p w14:paraId="35FE613C" w14:textId="476C7ADE" w:rsidR="00072517" w:rsidRDefault="00270DD6" w:rsidP="00072517">
            <w:pPr>
              <w:pStyle w:val="8VPT"/>
            </w:pPr>
            <w:r>
              <w:t>Třetí</w:t>
            </w:r>
            <w:r w:rsidR="00072517">
              <w:t xml:space="preserve"> vydání, 20</w:t>
            </w:r>
            <w:r w:rsidR="00F12226">
              <w:t>2</w:t>
            </w:r>
            <w:r>
              <w:t>2</w:t>
            </w:r>
          </w:p>
        </w:tc>
      </w:tr>
      <w:tr w:rsidR="00072517" w14:paraId="73034ECC" w14:textId="77777777" w:rsidTr="001923A0">
        <w:tc>
          <w:tcPr>
            <w:tcW w:w="3152" w:type="dxa"/>
            <w:vAlign w:val="center"/>
          </w:tcPr>
          <w:p w14:paraId="3FE87350" w14:textId="3E2E829F" w:rsidR="00072517" w:rsidRPr="009432A4" w:rsidRDefault="00072517" w:rsidP="00072517">
            <w:pPr>
              <w:pStyle w:val="6VlPT"/>
            </w:pPr>
            <w:r>
              <w:t>Obecné podmínky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539C8FD0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5E89329" w14:textId="574D418F" w:rsidR="00072517" w:rsidRDefault="00072517" w:rsidP="00072517">
            <w:pPr>
              <w:pStyle w:val="8VPT"/>
            </w:pPr>
            <w:r>
              <w:t>Smluvní podmínky pro výstavbu pozemních a</w:t>
            </w:r>
            <w:r w:rsidR="009324DC">
              <w:t> </w:t>
            </w:r>
            <w:r>
              <w:t>inženýrských staveb projektovaných objednatelem</w:t>
            </w:r>
          </w:p>
          <w:p w14:paraId="384610E7" w14:textId="38D1C2A9" w:rsidR="00072517" w:rsidRDefault="00072517" w:rsidP="00072517">
            <w:pPr>
              <w:pStyle w:val="8VPT"/>
            </w:pPr>
            <w:r>
              <w:t>První vydání, 1999</w:t>
            </w:r>
          </w:p>
        </w:tc>
      </w:tr>
      <w:tr w:rsidR="00072517" w:rsidRPr="00AC75EC" w14:paraId="61F2E669" w14:textId="77777777" w:rsidTr="001923A0">
        <w:tc>
          <w:tcPr>
            <w:tcW w:w="3152" w:type="dxa"/>
            <w:vAlign w:val="center"/>
          </w:tcPr>
          <w:p w14:paraId="2BE4504B" w14:textId="295F54FF" w:rsidR="00072517" w:rsidRDefault="00072517" w:rsidP="00072517">
            <w:pPr>
              <w:pStyle w:val="6VlPT"/>
            </w:pPr>
            <w:r>
              <w:lastRenderedPageBreak/>
              <w:t>Ostatní dokumenty tvořící součást Smlouvy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70E91480" w14:textId="77777777" w:rsidR="00072517" w:rsidRDefault="00072517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8C468BD" w14:textId="20C935BE" w:rsidR="00072517" w:rsidRPr="00AC75EC" w:rsidRDefault="00072517" w:rsidP="00072517">
            <w:pPr>
              <w:pStyle w:val="8VPT"/>
              <w:rPr>
                <w:highlight w:val="yellow"/>
              </w:rPr>
            </w:pPr>
            <w:r w:rsidRPr="009C5940">
              <w:t>Požadavky na projektovou dokumentaci Zhotovitele</w:t>
            </w:r>
          </w:p>
        </w:tc>
      </w:tr>
      <w:tr w:rsidR="004416D7" w14:paraId="3FF4A887" w14:textId="77777777" w:rsidTr="001923A0">
        <w:tc>
          <w:tcPr>
            <w:tcW w:w="3152" w:type="dxa"/>
            <w:vAlign w:val="center"/>
          </w:tcPr>
          <w:p w14:paraId="7450D42B" w14:textId="67CF30CC" w:rsidR="004416D7" w:rsidRDefault="004416D7" w:rsidP="00072517">
            <w:pPr>
              <w:pStyle w:val="5VlT"/>
            </w:pPr>
            <w:r>
              <w:t>Péče o dokumenty a jejich dodání</w:t>
            </w:r>
          </w:p>
        </w:tc>
        <w:tc>
          <w:tcPr>
            <w:tcW w:w="991" w:type="dxa"/>
            <w:vAlign w:val="center"/>
          </w:tcPr>
          <w:p w14:paraId="5BE85E72" w14:textId="790E1DAF" w:rsidR="004416D7" w:rsidRPr="0097151B" w:rsidRDefault="004416D7" w:rsidP="00072517">
            <w:pPr>
              <w:pStyle w:val="7ST"/>
            </w:pPr>
            <w:r>
              <w:t>1.8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C7C19BF" w14:textId="5419D21C" w:rsidR="004416D7" w:rsidRDefault="00FE09C1" w:rsidP="00FE09C1">
            <w:pPr>
              <w:pStyle w:val="8VPT"/>
            </w:pPr>
            <w:r w:rsidRPr="00FE09C1">
              <w:t>Zhotovitel je povinen poskytnout Správci stavby Dokumenty zhotovitele v podobě 1 tištěné kopie a dále v</w:t>
            </w:r>
            <w:r w:rsidR="009C5940">
              <w:t> </w:t>
            </w:r>
            <w:r w:rsidRPr="00FE09C1">
              <w:t>elektronické podobě.</w:t>
            </w:r>
          </w:p>
        </w:tc>
      </w:tr>
      <w:tr w:rsidR="009D5941" w14:paraId="0F953C7D" w14:textId="77777777" w:rsidTr="001923A0">
        <w:tc>
          <w:tcPr>
            <w:tcW w:w="3152" w:type="dxa"/>
            <w:vAlign w:val="center"/>
          </w:tcPr>
          <w:p w14:paraId="69A77C65" w14:textId="20F6DCF3" w:rsidR="009D5941" w:rsidRDefault="009D5941" w:rsidP="00072517">
            <w:pPr>
              <w:pStyle w:val="5VlT"/>
            </w:pPr>
            <w:r>
              <w:t>Sociální odpovědnost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595C2B98" w14:textId="0F6EBC7C" w:rsidR="009D5941" w:rsidRPr="0097151B" w:rsidRDefault="009D5941" w:rsidP="00072517">
            <w:pPr>
              <w:pStyle w:val="7ST"/>
            </w:pPr>
            <w:r>
              <w:t>1.15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0015E8E" w14:textId="151C8270" w:rsidR="009D5941" w:rsidRDefault="009D5941" w:rsidP="00072517">
            <w:pPr>
              <w:pStyle w:val="8VPT"/>
            </w:pPr>
          </w:p>
        </w:tc>
      </w:tr>
      <w:tr w:rsidR="00450806" w14:paraId="2EF9383A" w14:textId="77777777" w:rsidTr="001923A0">
        <w:tc>
          <w:tcPr>
            <w:tcW w:w="3152" w:type="dxa"/>
            <w:vAlign w:val="center"/>
          </w:tcPr>
          <w:p w14:paraId="157915C4" w14:textId="6AF16FD4" w:rsidR="00450806" w:rsidRDefault="00450806" w:rsidP="00450806">
            <w:pPr>
              <w:pStyle w:val="6VlPT"/>
            </w:pPr>
            <w:r>
              <w:t>Včasné platby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6144B699" w14:textId="77777777" w:rsidR="00450806" w:rsidRDefault="00450806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41E06D7" w14:textId="242EDFBE" w:rsidR="00450806" w:rsidRDefault="00450806" w:rsidP="009324DC">
            <w:pPr>
              <w:pStyle w:val="8VPT"/>
            </w:pPr>
            <w:r>
              <w:t xml:space="preserve">Strany se dohodly, že Zhotovitel je povinen </w:t>
            </w:r>
            <w:r w:rsidRPr="00255556">
              <w:t>včas plnit finanční závazky svým Podzhotovitelům, kdy za řádné a</w:t>
            </w:r>
            <w:r w:rsidR="009324DC">
              <w:t> </w:t>
            </w:r>
            <w:r w:rsidRPr="00255556">
              <w:t>včasné plnění</w:t>
            </w:r>
            <w:r>
              <w:t xml:space="preserve"> </w:t>
            </w:r>
            <w:r w:rsidRPr="00255556">
              <w:t>se považuje plné uhrazení Podzhotovitelem vystavených faktur za plnění</w:t>
            </w:r>
            <w:r>
              <w:t xml:space="preserve"> </w:t>
            </w:r>
            <w:r w:rsidRPr="00255556">
              <w:t xml:space="preserve">poskytnutá podle Smlouvy, a to vždy do </w:t>
            </w:r>
            <w:r w:rsidR="0062658D">
              <w:rPr>
                <w:b/>
                <w:bCs/>
                <w:u w:val="single"/>
              </w:rPr>
              <w:t>3</w:t>
            </w:r>
            <w:r w:rsidR="0062658D" w:rsidRPr="00255556">
              <w:t xml:space="preserve"> </w:t>
            </w:r>
            <w:r w:rsidRPr="00255556">
              <w:t>pracovních dnů od obdržení platby</w:t>
            </w:r>
            <w:r>
              <w:t xml:space="preserve"> </w:t>
            </w:r>
            <w:r w:rsidRPr="00255556">
              <w:t>ze strany Objednatele za konkrétní plnění</w:t>
            </w:r>
            <w:r>
              <w:t>.</w:t>
            </w:r>
          </w:p>
        </w:tc>
      </w:tr>
      <w:tr w:rsidR="00AC7AC3" w14:paraId="17F82C15" w14:textId="77777777" w:rsidTr="001923A0">
        <w:tc>
          <w:tcPr>
            <w:tcW w:w="3152" w:type="dxa"/>
            <w:vAlign w:val="center"/>
          </w:tcPr>
          <w:p w14:paraId="5C735FA2" w14:textId="12B34B1B" w:rsidR="00AC7AC3" w:rsidRDefault="00AC7AC3" w:rsidP="00450806">
            <w:pPr>
              <w:pStyle w:val="6VlPT"/>
            </w:pPr>
            <w:r>
              <w:t>Environmentální odpovědnost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51289F6B" w14:textId="77777777" w:rsidR="00AC7AC3" w:rsidRDefault="00AC7AC3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E78B659" w14:textId="2DA745ED" w:rsidR="00AC7AC3" w:rsidRDefault="00AC7AC3" w:rsidP="00E60413">
            <w:pPr>
              <w:pStyle w:val="Tabvlevo"/>
            </w:pPr>
            <w:r>
              <w:t>Zhotovitel je povinen provádět Dílo tak, aby minimalizoval vznik odpadů, které nejsou přímým důsledkem stavebních prací při provádění Díla. Dále je Zhotovitel povinen při výkonu administrativních činností souvisejících s prováděním Díla používat, je-li to objektivně možné, recyklované nebo recyklovatelné materiály, výrobky a</w:t>
            </w:r>
            <w:r w:rsidR="009324DC">
              <w:t> </w:t>
            </w:r>
            <w:r>
              <w:t>obaly.</w:t>
            </w:r>
          </w:p>
        </w:tc>
      </w:tr>
      <w:tr w:rsidR="00A41280" w14:paraId="6AAD5DCA" w14:textId="77777777" w:rsidTr="001923A0">
        <w:tc>
          <w:tcPr>
            <w:tcW w:w="3152" w:type="dxa"/>
            <w:vAlign w:val="center"/>
          </w:tcPr>
          <w:p w14:paraId="62D6D8C8" w14:textId="42AD44E1" w:rsidR="00A41280" w:rsidRPr="00E60413" w:rsidRDefault="00A41280" w:rsidP="00450806">
            <w:pPr>
              <w:pStyle w:val="6VlPT"/>
            </w:pPr>
            <w:r w:rsidRPr="00E60413">
              <w:t>Transparentní účet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674765C4" w14:textId="77777777" w:rsidR="00A41280" w:rsidRPr="00E60413" w:rsidRDefault="00A4128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7D44FD9" w14:textId="77777777" w:rsidR="00E50E5F" w:rsidRDefault="00E50E5F" w:rsidP="00E50E5F">
            <w:pPr>
              <w:pStyle w:val="Tabvlevoodsazen"/>
              <w:ind w:left="0"/>
            </w:pPr>
            <w:r>
              <w:t>Zhotovitel je povinen zřídit a po celou Dobu pro dokončení udržovat Transparentní účet.</w:t>
            </w:r>
          </w:p>
          <w:p w14:paraId="10F52D71" w14:textId="28DCEF8A" w:rsidR="00E50E5F" w:rsidRDefault="00E50E5F" w:rsidP="00E50E5F">
            <w:pPr>
              <w:pStyle w:val="Tabvlevoodsazen"/>
              <w:ind w:left="0"/>
            </w:pPr>
          </w:p>
          <w:p w14:paraId="3EDE5068" w14:textId="3E64496E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Definice:</w:t>
            </w:r>
          </w:p>
          <w:p w14:paraId="4B1EE0C1" w14:textId="5FF3B401" w:rsidR="00E50E5F" w:rsidRDefault="00E50E5F" w:rsidP="00E50E5F">
            <w:pPr>
              <w:pStyle w:val="Tabvlevoodsazen"/>
              <w:ind w:left="0"/>
            </w:pPr>
            <w:r>
              <w:t>„Transparentní účet“ je </w:t>
            </w:r>
            <w:r w:rsidRPr="00A306EC">
              <w:t>účet umožňující neomezený a</w:t>
            </w:r>
            <w:r w:rsidR="009324DC">
              <w:t> </w:t>
            </w:r>
            <w:r w:rsidRPr="00A306EC">
              <w:t xml:space="preserve">neomezitelný dálkový přístup třetích osob k zobrazování </w:t>
            </w:r>
            <w:r>
              <w:t>P</w:t>
            </w:r>
            <w:r w:rsidRPr="00A306EC">
              <w:t xml:space="preserve">řehledu </w:t>
            </w:r>
            <w:r>
              <w:t>Transparentního účtu.</w:t>
            </w:r>
          </w:p>
          <w:p w14:paraId="10E9B45D" w14:textId="3CA61921" w:rsidR="00E50E5F" w:rsidRDefault="00E50E5F" w:rsidP="00E50E5F">
            <w:pPr>
              <w:pStyle w:val="Tabvlevoodsazen"/>
              <w:ind w:left="0"/>
            </w:pPr>
            <w:r>
              <w:t>„Přehled Transparentního účtu“ je přehled všech platebních transakcí</w:t>
            </w:r>
            <w:r w:rsidRPr="00A306EC">
              <w:t xml:space="preserve"> </w:t>
            </w:r>
            <w:r>
              <w:t>uskutečněných na Transparentním</w:t>
            </w:r>
            <w:r w:rsidRPr="00A306EC">
              <w:t xml:space="preserve"> účtu</w:t>
            </w:r>
            <w:r>
              <w:t>.</w:t>
            </w:r>
          </w:p>
          <w:p w14:paraId="70B90B28" w14:textId="2861C778" w:rsidR="00E50E5F" w:rsidRDefault="00E50E5F" w:rsidP="00E50E5F">
            <w:pPr>
              <w:pStyle w:val="Tabvlevoodsazen"/>
              <w:ind w:left="0"/>
            </w:pPr>
          </w:p>
          <w:p w14:paraId="4A2E1D83" w14:textId="4271CC34" w:rsidR="00E50E5F" w:rsidRPr="00E50E5F" w:rsidRDefault="00E50E5F" w:rsidP="00E50E5F">
            <w:pPr>
              <w:pStyle w:val="Tabvlevoodsazen"/>
              <w:ind w:left="0"/>
              <w:rPr>
                <w:u w:val="single"/>
              </w:rPr>
            </w:pPr>
            <w:r w:rsidRPr="00E50E5F">
              <w:rPr>
                <w:u w:val="single"/>
              </w:rPr>
              <w:t>Podmínky:</w:t>
            </w:r>
          </w:p>
          <w:p w14:paraId="05EDE04A" w14:textId="77777777" w:rsidR="00E50E5F" w:rsidRDefault="00E50E5F" w:rsidP="00E50E5F">
            <w:pPr>
              <w:pStyle w:val="Tabvlevoodsazen"/>
              <w:ind w:left="0"/>
            </w:pPr>
            <w:r>
              <w:t>Název Transparentního účtu musí odpovídat názvu Díla dle Smlouvy o dílo.</w:t>
            </w:r>
          </w:p>
          <w:p w14:paraId="11C239F2" w14:textId="77777777" w:rsidR="00E50E5F" w:rsidRDefault="00E50E5F" w:rsidP="00E50E5F">
            <w:pPr>
              <w:pStyle w:val="Tabvlevoodsazen"/>
              <w:ind w:left="0"/>
            </w:pPr>
          </w:p>
          <w:p w14:paraId="6335C231" w14:textId="77777777" w:rsidR="00E50E5F" w:rsidRDefault="00E50E5F" w:rsidP="00E50E5F">
            <w:pPr>
              <w:pStyle w:val="Tabvlevoodsazen"/>
              <w:ind w:left="0"/>
            </w:pPr>
            <w:r>
              <w:t>Transparentní účet musí být veden u banky, spořitelního nebo úvěrního družstva nebo u zahraniční banky s pobočkou umístěnou na území České republiky. Přehled Transparentního účtu musí zobrazit informace o platebních transakcích v rozsahu dle následujícího odstavce alespoň po dobu jednoho roku zpětně od okamžiku zobrazení Přehledu Transparentního účtu třetí osobou.</w:t>
            </w:r>
          </w:p>
          <w:p w14:paraId="2067C45E" w14:textId="77777777" w:rsidR="00E50E5F" w:rsidRDefault="00E50E5F" w:rsidP="00E50E5F">
            <w:pPr>
              <w:pStyle w:val="Tabvlevoodsazen"/>
              <w:ind w:left="0"/>
            </w:pPr>
          </w:p>
          <w:p w14:paraId="47E51993" w14:textId="213DA9DE" w:rsidR="00E50E5F" w:rsidRDefault="00E50E5F" w:rsidP="00E50E5F">
            <w:pPr>
              <w:pStyle w:val="Tabvlevoodsazen"/>
              <w:ind w:left="0"/>
            </w:pPr>
            <w:r>
              <w:t>Z Přehledu Transparentního účtu musí být u odchozích platebních transakcí bez pochybností patrná výše platební transakce, datum provedení platební transakce</w:t>
            </w:r>
            <w:r w:rsidR="00B11B6E">
              <w:t xml:space="preserve"> </w:t>
            </w:r>
            <w:r>
              <w:t>a IČO protistrany, nebo, nemá-li protistrana IČO přiděleno, jméno protistrany.</w:t>
            </w:r>
          </w:p>
          <w:p w14:paraId="3B12E48F" w14:textId="77777777" w:rsidR="00E50E5F" w:rsidRDefault="00E50E5F" w:rsidP="00E50E5F">
            <w:pPr>
              <w:pStyle w:val="Tabvlevoodsazen"/>
              <w:ind w:left="0"/>
            </w:pPr>
          </w:p>
          <w:p w14:paraId="5ED718B7" w14:textId="77777777" w:rsidR="00E50E5F" w:rsidRDefault="00E50E5F" w:rsidP="00E50E5F">
            <w:pPr>
              <w:pStyle w:val="Tabvlevoodsazen"/>
              <w:ind w:left="0"/>
            </w:pPr>
            <w:r>
              <w:t xml:space="preserve">Zhotovitel se zavazuje užívat Transparentní účet výlučně k platebním transakcím souvisejícím s prováděním Díla, a to zejména k platbám Podzhotovitelům. Veškeré platební transakce z Transparentního účtu musí probíhat </w:t>
            </w:r>
            <w:r>
              <w:lastRenderedPageBreak/>
              <w:t>bezhotovostně, výběr hotovosti z Transparentního účtu je zakázán.</w:t>
            </w:r>
          </w:p>
          <w:p w14:paraId="7CDC0B5B" w14:textId="77777777" w:rsidR="00E50E5F" w:rsidRDefault="00E50E5F" w:rsidP="00E50E5F">
            <w:pPr>
              <w:pStyle w:val="Tabvlevoodsazen"/>
              <w:ind w:left="0"/>
            </w:pPr>
          </w:p>
          <w:p w14:paraId="39180CBC" w14:textId="7C76C87F" w:rsidR="00A41280" w:rsidRDefault="00E50E5F" w:rsidP="009324DC">
            <w:pPr>
              <w:pStyle w:val="8VPT"/>
            </w:pPr>
            <w:r>
              <w:t xml:space="preserve">Zhotovitel je povinen sdělit Objednateli účel jakékoliv platební </w:t>
            </w:r>
            <w:r w:rsidRPr="004D182B">
              <w:t>transakce</w:t>
            </w:r>
            <w:r>
              <w:t xml:space="preserve"> vyplývající z Přehledu Transparentního účtu nebo prokázat relevantními doklady pravdivost sděleného účelu jakékoliv platební transakce do 14 dnů od doručení výzvy Objednatele.</w:t>
            </w:r>
          </w:p>
        </w:tc>
      </w:tr>
      <w:tr w:rsidR="00072517" w14:paraId="503006C4" w14:textId="77777777" w:rsidTr="001923A0">
        <w:tc>
          <w:tcPr>
            <w:tcW w:w="3152" w:type="dxa"/>
            <w:vAlign w:val="center"/>
          </w:tcPr>
          <w:p w14:paraId="60F2E2FD" w14:textId="71168F75" w:rsidR="00072517" w:rsidRPr="009432A4" w:rsidRDefault="00072517" w:rsidP="00072517">
            <w:pPr>
              <w:pStyle w:val="5VlT"/>
            </w:pPr>
            <w:r>
              <w:lastRenderedPageBreak/>
              <w:t>Právo přístupu na staveniště</w:t>
            </w:r>
          </w:p>
        </w:tc>
        <w:tc>
          <w:tcPr>
            <w:tcW w:w="991" w:type="dxa"/>
            <w:vAlign w:val="center"/>
          </w:tcPr>
          <w:p w14:paraId="60FAFFEA" w14:textId="098A7DBC" w:rsidR="00072517" w:rsidRPr="0097151B" w:rsidRDefault="00072517" w:rsidP="00072517">
            <w:pPr>
              <w:pStyle w:val="7ST"/>
            </w:pPr>
            <w:r w:rsidRPr="0097151B">
              <w:t>2.1</w:t>
            </w:r>
          </w:p>
        </w:tc>
        <w:tc>
          <w:tcPr>
            <w:tcW w:w="5496" w:type="dxa"/>
            <w:vAlign w:val="center"/>
          </w:tcPr>
          <w:p w14:paraId="561BF299" w14:textId="77777777" w:rsidR="00072517" w:rsidRDefault="00072517" w:rsidP="00072517">
            <w:pPr>
              <w:pStyle w:val="8VPT"/>
            </w:pPr>
            <w:r>
              <w:t>Právo přístupu na Staveniště bude poskytnuto nejpozději k Datu zahájení prací.</w:t>
            </w:r>
          </w:p>
          <w:p w14:paraId="260F91DE" w14:textId="77777777" w:rsidR="00072517" w:rsidRDefault="00072517" w:rsidP="00072517">
            <w:pPr>
              <w:pStyle w:val="8VPT"/>
            </w:pPr>
            <w:r>
              <w:t>Doba poskytnutí práva přístupu na Staveniště se řídí předmětným Pod-článkem.</w:t>
            </w:r>
          </w:p>
          <w:p w14:paraId="1838A574" w14:textId="309AB40F" w:rsidR="00072517" w:rsidRDefault="00072517" w:rsidP="00072517">
            <w:pPr>
              <w:pStyle w:val="8VPT"/>
            </w:pPr>
            <w:r w:rsidRPr="00EA5C30">
              <w:t>Objednatel nebude Zhotoviteli předávat k užívání žádný základ, konstrukci, technologické zařízení ani prostředek přístupu na Staveniště.</w:t>
            </w:r>
          </w:p>
        </w:tc>
      </w:tr>
      <w:tr w:rsidR="00921115" w14:paraId="54DC739C" w14:textId="77777777" w:rsidTr="001923A0">
        <w:tc>
          <w:tcPr>
            <w:tcW w:w="3152" w:type="dxa"/>
            <w:vAlign w:val="center"/>
          </w:tcPr>
          <w:p w14:paraId="28A928AF" w14:textId="2DFDF83A" w:rsidR="00921115" w:rsidRDefault="00921115" w:rsidP="00072517">
            <w:pPr>
              <w:pStyle w:val="5VlT"/>
            </w:pPr>
            <w:r>
              <w:t>Obecné povinnost</w:t>
            </w:r>
            <w:r w:rsidR="004D2CD9">
              <w:t>i</w:t>
            </w:r>
            <w:r>
              <w:t xml:space="preserve"> zhotovitele</w:t>
            </w:r>
          </w:p>
        </w:tc>
        <w:tc>
          <w:tcPr>
            <w:tcW w:w="991" w:type="dxa"/>
            <w:vAlign w:val="center"/>
          </w:tcPr>
          <w:p w14:paraId="7C8A7BA4" w14:textId="1D157E37" w:rsidR="00921115" w:rsidRDefault="00921115" w:rsidP="00072517">
            <w:pPr>
              <w:pStyle w:val="7ST"/>
            </w:pPr>
            <w:r>
              <w:t>4.1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87931BB" w14:textId="77777777" w:rsidR="00036156" w:rsidRDefault="00036156" w:rsidP="00036156">
            <w:pPr>
              <w:pStyle w:val="8VPT"/>
            </w:pPr>
            <w:r>
              <w:t>Na informační ceduli stavby jsou stanoveny následující požadavky:</w:t>
            </w:r>
          </w:p>
          <w:p w14:paraId="67B63A03" w14:textId="0BB15930" w:rsidR="00C962D1" w:rsidRPr="00A45D29" w:rsidRDefault="00036156" w:rsidP="00036156">
            <w:pPr>
              <w:pStyle w:val="8VPT"/>
            </w:pPr>
            <w:r>
              <w:t>V případě, že Zhotovitel umístí své logo na stavbě, tak zajistí i vyvěšení loga objednatele min. ve stejné velikosti</w:t>
            </w:r>
            <w:r w:rsidR="00633E16">
              <w:t>,</w:t>
            </w:r>
            <w:r>
              <w:t xml:space="preserve"> </w:t>
            </w:r>
            <w:r w:rsidR="00633E16">
              <w:t xml:space="preserve">rozsahu a umístění </w:t>
            </w:r>
            <w:r>
              <w:t>jako logo Zhotovitele.</w:t>
            </w:r>
          </w:p>
        </w:tc>
      </w:tr>
      <w:tr w:rsidR="00072517" w14:paraId="6A34F66D" w14:textId="77777777" w:rsidTr="001923A0">
        <w:tc>
          <w:tcPr>
            <w:tcW w:w="3152" w:type="dxa"/>
            <w:vAlign w:val="center"/>
          </w:tcPr>
          <w:p w14:paraId="5D806CCF" w14:textId="543A4A4F" w:rsidR="00072517" w:rsidRPr="009432A4" w:rsidRDefault="00072517" w:rsidP="00072517">
            <w:pPr>
              <w:pStyle w:val="5VlT"/>
            </w:pPr>
            <w:r>
              <w:t>Zajištění splnění smlouvy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22DB38B6" w14:textId="5B41A8DE" w:rsidR="00072517" w:rsidRDefault="00072517" w:rsidP="00072517">
            <w:pPr>
              <w:pStyle w:val="7ST"/>
            </w:pPr>
            <w:r>
              <w:t>4.2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F1B6D17" w14:textId="2D14C107" w:rsidR="00072517" w:rsidRPr="00A45D29" w:rsidRDefault="00072517" w:rsidP="00072517">
            <w:pPr>
              <w:pStyle w:val="8VPT"/>
            </w:pPr>
          </w:p>
        </w:tc>
      </w:tr>
      <w:tr w:rsidR="003500EA" w14:paraId="21E3E015" w14:textId="77777777" w:rsidTr="001923A0">
        <w:tc>
          <w:tcPr>
            <w:tcW w:w="3152" w:type="dxa"/>
            <w:vAlign w:val="center"/>
          </w:tcPr>
          <w:p w14:paraId="16BA8D33" w14:textId="5EB8E7A6" w:rsidR="003500EA" w:rsidRDefault="003500EA" w:rsidP="00B761D7">
            <w:pPr>
              <w:pStyle w:val="6VlPT"/>
            </w:pPr>
            <w:r>
              <w:t>Forma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0DC7AC21" w14:textId="77777777" w:rsidR="003500EA" w:rsidRDefault="003500EA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0233638" w14:textId="774AF563" w:rsidR="003500EA" w:rsidRPr="00A45D29" w:rsidRDefault="00784FE3" w:rsidP="00072517">
            <w:pPr>
              <w:pStyle w:val="8VPT"/>
            </w:pPr>
            <w:r>
              <w:t>Bankovní záruka.</w:t>
            </w:r>
          </w:p>
        </w:tc>
      </w:tr>
      <w:tr w:rsidR="00B761D7" w14:paraId="74466D0F" w14:textId="77777777" w:rsidTr="001923A0">
        <w:tc>
          <w:tcPr>
            <w:tcW w:w="3152" w:type="dxa"/>
            <w:vAlign w:val="center"/>
          </w:tcPr>
          <w:p w14:paraId="2B65E7D5" w14:textId="0464EC71" w:rsidR="00B761D7" w:rsidRDefault="00B761D7" w:rsidP="00B761D7">
            <w:pPr>
              <w:pStyle w:val="6VlPT"/>
            </w:pPr>
            <w:r>
              <w:t>Výše</w:t>
            </w:r>
            <w:r w:rsidR="00784FE3">
              <w:t xml:space="preserve"> </w:t>
            </w:r>
            <w:r>
              <w:t>záruky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F7BB011" w14:textId="77777777" w:rsidR="00B761D7" w:rsidRDefault="00B761D7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71E6646" w14:textId="748A097B" w:rsidR="00B761D7" w:rsidRPr="00A45D29" w:rsidRDefault="00B761D7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10</w:t>
            </w:r>
            <w:r w:rsidRPr="00A45D29">
              <w:t xml:space="preserve"> % z Přijaté smluvní částky.</w:t>
            </w:r>
          </w:p>
        </w:tc>
      </w:tr>
      <w:tr w:rsidR="00B761D7" w14:paraId="66B93024" w14:textId="77777777" w:rsidTr="001923A0">
        <w:tc>
          <w:tcPr>
            <w:tcW w:w="3152" w:type="dxa"/>
            <w:vAlign w:val="center"/>
          </w:tcPr>
          <w:p w14:paraId="05E129B1" w14:textId="52FDE278" w:rsidR="00B761D7" w:rsidRDefault="00B761D7" w:rsidP="00B761D7">
            <w:pPr>
              <w:pStyle w:val="6VlPT"/>
            </w:pPr>
            <w:r>
              <w:t>Vzor záruky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2A090CF2" w14:textId="77777777" w:rsidR="00B761D7" w:rsidRDefault="00B761D7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84268BF" w14:textId="13EDD102" w:rsidR="00B761D7" w:rsidRPr="00C6491C" w:rsidRDefault="008759CA" w:rsidP="00072517">
            <w:pPr>
              <w:pStyle w:val="8VPT"/>
            </w:pPr>
            <w:r>
              <w:t>Nestanovuje se.</w:t>
            </w:r>
          </w:p>
        </w:tc>
      </w:tr>
      <w:tr w:rsidR="00676846" w14:paraId="6D5406C1" w14:textId="77777777" w:rsidTr="001923A0">
        <w:tc>
          <w:tcPr>
            <w:tcW w:w="3152" w:type="dxa"/>
            <w:vAlign w:val="center"/>
          </w:tcPr>
          <w:p w14:paraId="2FD4332B" w14:textId="34A32B25" w:rsidR="00676846" w:rsidRDefault="00676846" w:rsidP="00B761D7">
            <w:pPr>
              <w:pStyle w:val="6VlPT"/>
            </w:pPr>
            <w:r>
              <w:t>Oprávnění k zadržení části plateb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ABBBD1A" w14:textId="77777777" w:rsidR="00676846" w:rsidRDefault="00676846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F528F66" w14:textId="7F41F129" w:rsidR="00676846" w:rsidRPr="00B761D7" w:rsidRDefault="00676846" w:rsidP="00072517">
            <w:pPr>
              <w:pStyle w:val="8VPT"/>
              <w:rPr>
                <w:highlight w:val="yellow"/>
              </w:rPr>
            </w:pPr>
            <w:r w:rsidRPr="00EA5C30">
              <w:t>50 % z každé průběžné platby</w:t>
            </w:r>
          </w:p>
        </w:tc>
      </w:tr>
      <w:tr w:rsidR="002F0F11" w14:paraId="3C2F8A35" w14:textId="77777777" w:rsidTr="001923A0">
        <w:tc>
          <w:tcPr>
            <w:tcW w:w="3152" w:type="dxa"/>
            <w:vAlign w:val="center"/>
          </w:tcPr>
          <w:p w14:paraId="44B62D51" w14:textId="4CD95589" w:rsidR="002F0F11" w:rsidRDefault="002F0F11" w:rsidP="00072517">
            <w:pPr>
              <w:pStyle w:val="5VlT"/>
            </w:pPr>
            <w:r>
              <w:t>Bezpečnost práce</w:t>
            </w:r>
          </w:p>
        </w:tc>
        <w:tc>
          <w:tcPr>
            <w:tcW w:w="991" w:type="dxa"/>
            <w:vAlign w:val="center"/>
          </w:tcPr>
          <w:p w14:paraId="1BF55D29" w14:textId="55CECD59" w:rsidR="002F0F11" w:rsidRDefault="002F0F11" w:rsidP="00072517">
            <w:pPr>
              <w:pStyle w:val="7ST"/>
            </w:pPr>
            <w:r>
              <w:t>4.8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2F03B47A" w14:textId="5B84F91F" w:rsidR="002F0F11" w:rsidRPr="00A555B6" w:rsidRDefault="002F0F11" w:rsidP="00072517">
            <w:pPr>
              <w:pStyle w:val="8VPT"/>
            </w:pPr>
            <w:r w:rsidRPr="00EA5C30">
              <w:t>Nejsou stanoveny další podmínky a požadavky na bezpečnost práce.</w:t>
            </w:r>
          </w:p>
        </w:tc>
      </w:tr>
      <w:tr w:rsidR="00E619AA" w14:paraId="2512338F" w14:textId="77777777" w:rsidTr="001923A0">
        <w:tc>
          <w:tcPr>
            <w:tcW w:w="3152" w:type="dxa"/>
            <w:vAlign w:val="center"/>
          </w:tcPr>
          <w:p w14:paraId="4E704560" w14:textId="517B6F43" w:rsidR="00E619AA" w:rsidRDefault="00E619AA" w:rsidP="00072517">
            <w:pPr>
              <w:pStyle w:val="5VlT"/>
            </w:pPr>
            <w:r>
              <w:t>Zajištění kvality</w:t>
            </w:r>
          </w:p>
        </w:tc>
        <w:tc>
          <w:tcPr>
            <w:tcW w:w="991" w:type="dxa"/>
            <w:vAlign w:val="center"/>
          </w:tcPr>
          <w:p w14:paraId="442248EB" w14:textId="4047FB4D" w:rsidR="00E619AA" w:rsidRDefault="00E619AA" w:rsidP="00072517">
            <w:pPr>
              <w:pStyle w:val="7ST"/>
            </w:pPr>
            <w:r>
              <w:t>4.9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2543F6D" w14:textId="49803B2A" w:rsidR="00E619AA" w:rsidRPr="002F0F11" w:rsidRDefault="00E619AA" w:rsidP="00072517">
            <w:pPr>
              <w:pStyle w:val="8VPT"/>
              <w:rPr>
                <w:highlight w:val="yellow"/>
              </w:rPr>
            </w:pPr>
            <w:r w:rsidRPr="00EA5C30">
              <w:t>Nejsou stanoveny požadavky na zajištění kvality.</w:t>
            </w:r>
          </w:p>
        </w:tc>
      </w:tr>
      <w:tr w:rsidR="00B75D42" w14:paraId="4F1D7030" w14:textId="77777777" w:rsidTr="001923A0">
        <w:tc>
          <w:tcPr>
            <w:tcW w:w="3152" w:type="dxa"/>
            <w:vAlign w:val="center"/>
          </w:tcPr>
          <w:p w14:paraId="48D834FB" w14:textId="277A0247" w:rsidR="00B75D42" w:rsidRDefault="00B75D42" w:rsidP="00072517">
            <w:pPr>
              <w:pStyle w:val="5VlT"/>
            </w:pPr>
            <w:r>
              <w:t>Zprávy o postupu prací</w:t>
            </w:r>
          </w:p>
        </w:tc>
        <w:tc>
          <w:tcPr>
            <w:tcW w:w="991" w:type="dxa"/>
            <w:vAlign w:val="center"/>
          </w:tcPr>
          <w:p w14:paraId="29756FDB" w14:textId="4CE476C5" w:rsidR="00B75D42" w:rsidRDefault="00B75D42" w:rsidP="00072517">
            <w:pPr>
              <w:pStyle w:val="7ST"/>
            </w:pPr>
            <w:r>
              <w:t>4.21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1950E2E7" w14:textId="6DD96146" w:rsidR="00B75D42" w:rsidRPr="00A45D29" w:rsidRDefault="00B75D42" w:rsidP="00072517">
            <w:pPr>
              <w:pStyle w:val="8VPT"/>
            </w:pPr>
            <w:r>
              <w:t>Ve vztahu ke zprávám o postupu prací se nestanovuje jinak.</w:t>
            </w:r>
          </w:p>
        </w:tc>
      </w:tr>
      <w:tr w:rsidR="00072517" w14:paraId="017C0964" w14:textId="77777777" w:rsidTr="001923A0">
        <w:tc>
          <w:tcPr>
            <w:tcW w:w="3152" w:type="dxa"/>
            <w:vAlign w:val="center"/>
          </w:tcPr>
          <w:p w14:paraId="0CDEA318" w14:textId="22DA6E3A" w:rsidR="00072517" w:rsidRPr="009432A4" w:rsidRDefault="00072517" w:rsidP="00072517">
            <w:pPr>
              <w:pStyle w:val="5VlT"/>
            </w:pPr>
            <w:r>
              <w:t>Záruka za odstranění vad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54238DFC" w14:textId="30C36556" w:rsidR="00072517" w:rsidRDefault="00072517" w:rsidP="00072517">
            <w:pPr>
              <w:pStyle w:val="7ST"/>
            </w:pPr>
            <w:r>
              <w:t>4.25</w:t>
            </w:r>
          </w:p>
        </w:tc>
        <w:tc>
          <w:tcPr>
            <w:tcW w:w="5496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30AD436" w14:textId="33C4B2F3" w:rsidR="00072517" w:rsidRPr="00A45D29" w:rsidRDefault="00072517" w:rsidP="00072517">
            <w:pPr>
              <w:pStyle w:val="8VPT"/>
            </w:pPr>
          </w:p>
        </w:tc>
      </w:tr>
      <w:tr w:rsidR="00BB1690" w14:paraId="5FF3C926" w14:textId="77777777" w:rsidTr="001923A0">
        <w:tc>
          <w:tcPr>
            <w:tcW w:w="3152" w:type="dxa"/>
            <w:vAlign w:val="center"/>
          </w:tcPr>
          <w:p w14:paraId="005B0C7C" w14:textId="70D5EC82" w:rsidR="00BB1690" w:rsidRDefault="00BB1690" w:rsidP="00072517">
            <w:pPr>
              <w:pStyle w:val="5VlT"/>
            </w:pPr>
            <w:r>
              <w:t>Forma záruky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FFA923E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AC919E9" w14:textId="0E415B46" w:rsidR="00BB1690" w:rsidRPr="00A45D29" w:rsidRDefault="00BB1690" w:rsidP="00072517">
            <w:pPr>
              <w:pStyle w:val="8VPT"/>
            </w:pPr>
            <w:r>
              <w:t>Bankovní záruka.</w:t>
            </w:r>
          </w:p>
        </w:tc>
      </w:tr>
      <w:tr w:rsidR="00BB1690" w14:paraId="1C96F196" w14:textId="77777777" w:rsidTr="001923A0">
        <w:tc>
          <w:tcPr>
            <w:tcW w:w="3152" w:type="dxa"/>
            <w:vAlign w:val="center"/>
          </w:tcPr>
          <w:p w14:paraId="7B725AA3" w14:textId="75D3A322" w:rsidR="00BB1690" w:rsidRDefault="00BB1690" w:rsidP="00072517">
            <w:pPr>
              <w:pStyle w:val="5VlT"/>
            </w:pPr>
            <w:r>
              <w:t>Výše záruky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6D0C2303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5A8176A" w14:textId="72FA6B0C" w:rsidR="00BB1690" w:rsidRPr="00A45D29" w:rsidRDefault="00BB1690" w:rsidP="00072517">
            <w:pPr>
              <w:pStyle w:val="8VPT"/>
            </w:pPr>
            <w:r w:rsidRPr="00A45D29">
              <w:t xml:space="preserve">Výše záruky je stanovena ve výši </w:t>
            </w:r>
            <w:r w:rsidRPr="00F95392">
              <w:t>5</w:t>
            </w:r>
            <w:r w:rsidRPr="00A45D29">
              <w:t xml:space="preserve"> % z Přijaté smluvní částky.</w:t>
            </w:r>
          </w:p>
        </w:tc>
      </w:tr>
      <w:tr w:rsidR="00BB1690" w14:paraId="792D1D76" w14:textId="77777777" w:rsidTr="001923A0">
        <w:tc>
          <w:tcPr>
            <w:tcW w:w="3152" w:type="dxa"/>
            <w:vAlign w:val="center"/>
          </w:tcPr>
          <w:p w14:paraId="250B2B63" w14:textId="7E996874" w:rsidR="00BB1690" w:rsidRDefault="00787E90" w:rsidP="00072517">
            <w:pPr>
              <w:pStyle w:val="5VlT"/>
            </w:pPr>
            <w:r>
              <w:t>Vzor záruky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388C358E" w14:textId="77777777" w:rsidR="00BB1690" w:rsidRDefault="00BB1690" w:rsidP="00072517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5EF5216" w14:textId="19C21C56" w:rsidR="00BB1690" w:rsidRPr="00A45D29" w:rsidRDefault="008759CA" w:rsidP="00787E90">
            <w:pPr>
              <w:pStyle w:val="8VPT"/>
            </w:pPr>
            <w:r>
              <w:t>Nestanovuje se.</w:t>
            </w:r>
          </w:p>
        </w:tc>
      </w:tr>
      <w:tr w:rsidR="00072517" w14:paraId="7F8F1AB8" w14:textId="77777777" w:rsidTr="001923A0">
        <w:tc>
          <w:tcPr>
            <w:tcW w:w="3152" w:type="dxa"/>
            <w:vAlign w:val="center"/>
          </w:tcPr>
          <w:p w14:paraId="0E80F8DA" w14:textId="0B85A43B" w:rsidR="00072517" w:rsidRPr="009432A4" w:rsidRDefault="00072517" w:rsidP="00072517">
            <w:pPr>
              <w:pStyle w:val="5VlT"/>
            </w:pPr>
            <w:r>
              <w:t>Povinnost zhotovitele zaplatit objednateli smluvní pokutu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04D78D87" w14:textId="20FA33D1" w:rsidR="00072517" w:rsidRDefault="00072517" w:rsidP="00072517">
            <w:pPr>
              <w:pStyle w:val="7ST"/>
            </w:pPr>
            <w:r>
              <w:t>4.27</w:t>
            </w:r>
          </w:p>
        </w:tc>
        <w:tc>
          <w:tcPr>
            <w:tcW w:w="5496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5C5D3A36" w14:textId="77777777" w:rsidR="00072517" w:rsidRDefault="00072517" w:rsidP="00072517">
            <w:pPr>
              <w:pStyle w:val="8VPT"/>
            </w:pPr>
          </w:p>
        </w:tc>
      </w:tr>
      <w:tr w:rsidR="00072517" w14:paraId="149617F9" w14:textId="77777777" w:rsidTr="001923A0">
        <w:tc>
          <w:tcPr>
            <w:tcW w:w="3152" w:type="dxa"/>
            <w:vAlign w:val="center"/>
          </w:tcPr>
          <w:p w14:paraId="3000F8FC" w14:textId="62DE1B53" w:rsidR="00072517" w:rsidRPr="009432A4" w:rsidRDefault="00072517" w:rsidP="00072517">
            <w:pPr>
              <w:pStyle w:val="6VlPT"/>
            </w:pPr>
            <w:r>
              <w:lastRenderedPageBreak/>
              <w:t xml:space="preserve">Porušení </w:t>
            </w:r>
            <w:r w:rsidR="00821F6C">
              <w:t>povinností v oblasti sociální odpovědnosti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305CA401" w14:textId="3395AA66" w:rsidR="00072517" w:rsidRDefault="00072517" w:rsidP="00072517">
            <w:pPr>
              <w:pStyle w:val="7ST"/>
            </w:pPr>
            <w:r>
              <w:t>(a)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6D0C86A3" w14:textId="4669B9F6" w:rsidR="00072517" w:rsidRDefault="00072517" w:rsidP="00072517">
            <w:pPr>
              <w:pStyle w:val="8VPT"/>
            </w:pPr>
          </w:p>
        </w:tc>
      </w:tr>
      <w:tr w:rsidR="00821F6C" w14:paraId="3B68EA1B" w14:textId="77777777" w:rsidTr="001923A0">
        <w:tc>
          <w:tcPr>
            <w:tcW w:w="3152" w:type="dxa"/>
            <w:vAlign w:val="center"/>
          </w:tcPr>
          <w:p w14:paraId="0CDAA660" w14:textId="144A48E5" w:rsidR="00821F6C" w:rsidRDefault="00821F6C" w:rsidP="00821F6C">
            <w:pPr>
              <w:pStyle w:val="913Pod-pod"/>
            </w:pPr>
            <w:r>
              <w:t>Neudržování transparentního účtu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3B2D6972" w14:textId="77777777" w:rsidR="00821F6C" w:rsidRDefault="00821F6C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8331992" w14:textId="4A569EBF" w:rsidR="00821F6C" w:rsidRDefault="00136A7D" w:rsidP="00072517">
            <w:pPr>
              <w:pStyle w:val="8VPT"/>
            </w:pPr>
            <w:r>
              <w:t>100.</w:t>
            </w:r>
            <w:r w:rsidR="00821F6C">
              <w:t>000 Kč za každý započatý měsíc porušení této povinnosti.</w:t>
            </w:r>
          </w:p>
        </w:tc>
      </w:tr>
      <w:tr w:rsidR="00072517" w14:paraId="512E5B48" w14:textId="77777777" w:rsidTr="001923A0">
        <w:tc>
          <w:tcPr>
            <w:tcW w:w="3152" w:type="dxa"/>
            <w:vAlign w:val="center"/>
          </w:tcPr>
          <w:p w14:paraId="5D226F91" w14:textId="23BF1674" w:rsidR="00072517" w:rsidRPr="00F95392" w:rsidRDefault="00974A29" w:rsidP="00072517">
            <w:pPr>
              <w:pStyle w:val="6VlPT"/>
            </w:pPr>
            <w:r>
              <w:t>Provádění části Díla v rozporu s výhradou Objednatele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0D1EEBCA" w14:textId="0FB6E532" w:rsidR="00072517" w:rsidRDefault="00072517" w:rsidP="00072517">
            <w:pPr>
              <w:pStyle w:val="7ST"/>
            </w:pPr>
            <w:r>
              <w:t>(b)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76485D40" w14:textId="244996E8" w:rsidR="00072517" w:rsidRDefault="00974A29" w:rsidP="00072517">
            <w:pPr>
              <w:pStyle w:val="8VPT"/>
            </w:pPr>
            <w:r>
              <w:t>30 % z celkové ceny takové části Díla podle Výkazu výměr.</w:t>
            </w:r>
          </w:p>
        </w:tc>
      </w:tr>
      <w:tr w:rsidR="00072517" w14:paraId="75C40D16" w14:textId="77777777" w:rsidTr="001923A0">
        <w:tc>
          <w:tcPr>
            <w:tcW w:w="3152" w:type="dxa"/>
            <w:vAlign w:val="center"/>
          </w:tcPr>
          <w:p w14:paraId="7A70BCE2" w14:textId="0C41AA39" w:rsidR="00072517" w:rsidRPr="009432A4" w:rsidRDefault="00072517" w:rsidP="00072517">
            <w:pPr>
              <w:pStyle w:val="6VlPT"/>
            </w:pPr>
            <w:r>
              <w:t xml:space="preserve">Porušení povinnosti </w:t>
            </w:r>
            <w:r w:rsidR="00974A29">
              <w:t>ve vztahu ke střetu zájmů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520B213D" w14:textId="76837658" w:rsidR="00072517" w:rsidRDefault="00072517" w:rsidP="00072517">
            <w:pPr>
              <w:pStyle w:val="7ST"/>
            </w:pPr>
            <w:r>
              <w:t>(c)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1006F3CF" w14:textId="5B382068" w:rsidR="00072517" w:rsidRDefault="00072517" w:rsidP="00072517">
            <w:pPr>
              <w:pStyle w:val="8VPT"/>
            </w:pPr>
          </w:p>
        </w:tc>
      </w:tr>
      <w:tr w:rsidR="001E3BE0" w14:paraId="39B40445" w14:textId="77777777" w:rsidTr="001923A0">
        <w:tc>
          <w:tcPr>
            <w:tcW w:w="3152" w:type="dxa"/>
            <w:vAlign w:val="center"/>
          </w:tcPr>
          <w:p w14:paraId="52864373" w14:textId="278C64A7" w:rsidR="001E3BE0" w:rsidRDefault="001E3BE0" w:rsidP="001E3BE0">
            <w:pPr>
              <w:pStyle w:val="913Pod-pod"/>
            </w:pPr>
            <w:r>
              <w:t>Podle Pod-článku 4.4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3D6637B" w14:textId="77777777" w:rsidR="001E3BE0" w:rsidRDefault="001E3BE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2B30AD9" w14:textId="6D1AC2BE" w:rsidR="001E3BE0" w:rsidRDefault="001E3BE0" w:rsidP="00072517">
            <w:pPr>
              <w:pStyle w:val="8VPT"/>
            </w:pPr>
            <w:r>
              <w:t>100</w:t>
            </w:r>
            <w:r w:rsidR="00BB08DA">
              <w:t xml:space="preserve"> </w:t>
            </w:r>
            <w:r>
              <w:t>000 Kč za každý zjištění případ a započatý měsíc takového porušení povinnosti.</w:t>
            </w:r>
          </w:p>
        </w:tc>
      </w:tr>
      <w:tr w:rsidR="001E3BE0" w14:paraId="5486A744" w14:textId="77777777" w:rsidTr="001923A0">
        <w:tc>
          <w:tcPr>
            <w:tcW w:w="3152" w:type="dxa"/>
            <w:vAlign w:val="center"/>
          </w:tcPr>
          <w:p w14:paraId="3E185DD5" w14:textId="666831E3" w:rsidR="001E3BE0" w:rsidRDefault="001E3BE0" w:rsidP="001E3BE0">
            <w:pPr>
              <w:pStyle w:val="913Pod-pod"/>
            </w:pPr>
            <w:r>
              <w:t>Podle Pod-článku 4.30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7D4920A" w14:textId="77777777" w:rsidR="001E3BE0" w:rsidRDefault="001E3BE0" w:rsidP="00072517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40F3656C" w14:textId="775D16CD" w:rsidR="001E3BE0" w:rsidRDefault="001E3BE0" w:rsidP="00072517">
            <w:pPr>
              <w:pStyle w:val="8VPT"/>
            </w:pPr>
            <w:r>
              <w:t>500</w:t>
            </w:r>
            <w:r w:rsidR="00BB08DA">
              <w:t xml:space="preserve"> </w:t>
            </w:r>
            <w:r>
              <w:t>000 Kč za každý případ takového porušení povinnosti</w:t>
            </w:r>
            <w:r w:rsidR="00EE3B2F">
              <w:t>.</w:t>
            </w:r>
          </w:p>
        </w:tc>
      </w:tr>
      <w:tr w:rsidR="00072517" w14:paraId="11557445" w14:textId="77777777" w:rsidTr="001923A0">
        <w:tc>
          <w:tcPr>
            <w:tcW w:w="3152" w:type="dxa"/>
            <w:vAlign w:val="center"/>
          </w:tcPr>
          <w:p w14:paraId="65091950" w14:textId="40E90681" w:rsidR="00072517" w:rsidRPr="009432A4" w:rsidRDefault="00D6387E" w:rsidP="00072517">
            <w:pPr>
              <w:pStyle w:val="6VlPT"/>
            </w:pPr>
            <w:r>
              <w:t>Nesplnění postupného závazného milníku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291CFAF7" w14:textId="2C5FFD3D" w:rsidR="00072517" w:rsidRDefault="00072517" w:rsidP="00072517">
            <w:pPr>
              <w:pStyle w:val="7ST"/>
            </w:pPr>
            <w:r>
              <w:t>(d)</w:t>
            </w:r>
          </w:p>
        </w:tc>
        <w:tc>
          <w:tcPr>
            <w:tcW w:w="5496" w:type="dxa"/>
            <w:vAlign w:val="center"/>
          </w:tcPr>
          <w:p w14:paraId="57D49498" w14:textId="25B24997" w:rsidR="00072517" w:rsidRDefault="00A26F88" w:rsidP="00072517">
            <w:pPr>
              <w:pStyle w:val="8VPT"/>
            </w:pPr>
            <w:r>
              <w:t>Nepoužije se</w:t>
            </w:r>
          </w:p>
        </w:tc>
      </w:tr>
      <w:tr w:rsidR="00072517" w14:paraId="15CCC3FC" w14:textId="77777777" w:rsidTr="001923A0">
        <w:tc>
          <w:tcPr>
            <w:tcW w:w="3152" w:type="dxa"/>
            <w:shd w:val="clear" w:color="auto" w:fill="auto"/>
            <w:vAlign w:val="center"/>
          </w:tcPr>
          <w:p w14:paraId="759FA0D9" w14:textId="6BD47755" w:rsidR="00072517" w:rsidRPr="00A555B6" w:rsidRDefault="009764F5" w:rsidP="00072517">
            <w:pPr>
              <w:pStyle w:val="6VlPT"/>
            </w:pPr>
            <w:r w:rsidRPr="00A555B6">
              <w:t>Poručení povinností uvedených v Pod-článku 6.7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07EA95E7" w14:textId="7982DCF5" w:rsidR="00072517" w:rsidRDefault="00072517" w:rsidP="00072517">
            <w:pPr>
              <w:pStyle w:val="7ST"/>
            </w:pPr>
            <w:r>
              <w:t>(e)</w:t>
            </w:r>
          </w:p>
        </w:tc>
        <w:tc>
          <w:tcPr>
            <w:tcW w:w="5496" w:type="dxa"/>
            <w:vAlign w:val="center"/>
          </w:tcPr>
          <w:p w14:paraId="4D8581AE" w14:textId="550A1B01" w:rsidR="00072517" w:rsidRDefault="009764F5" w:rsidP="00072517">
            <w:pPr>
              <w:pStyle w:val="8VPT"/>
            </w:pPr>
            <w:r>
              <w:t>5</w:t>
            </w:r>
            <w:r w:rsidR="00BB08DA">
              <w:t xml:space="preserve"> </w:t>
            </w:r>
            <w:r>
              <w:t>000 Kč za každý takový případ a započatý den až do doby splnění konkrétní povinnosti</w:t>
            </w:r>
            <w:r w:rsidR="00893460">
              <w:t>.</w:t>
            </w:r>
          </w:p>
        </w:tc>
      </w:tr>
      <w:tr w:rsidR="00072517" w14:paraId="31A10CB4" w14:textId="77777777" w:rsidTr="001923A0">
        <w:tc>
          <w:tcPr>
            <w:tcW w:w="3152" w:type="dxa"/>
            <w:vAlign w:val="center"/>
          </w:tcPr>
          <w:p w14:paraId="390C596C" w14:textId="743F745E" w:rsidR="00072517" w:rsidRPr="009432A4" w:rsidRDefault="00893460" w:rsidP="00072517">
            <w:pPr>
              <w:pStyle w:val="6VlPT"/>
            </w:pPr>
            <w:r>
              <w:t>Poručení povinnosti uvedené v Pod-článku 6.9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29CF639F" w14:textId="2C638E01" w:rsidR="00072517" w:rsidRDefault="00072517" w:rsidP="00072517">
            <w:pPr>
              <w:pStyle w:val="7ST"/>
            </w:pPr>
            <w:r>
              <w:t>(f)</w:t>
            </w:r>
          </w:p>
        </w:tc>
        <w:tc>
          <w:tcPr>
            <w:tcW w:w="5496" w:type="dxa"/>
            <w:vAlign w:val="center"/>
          </w:tcPr>
          <w:p w14:paraId="142D8702" w14:textId="2E749963" w:rsidR="00072517" w:rsidRDefault="008A1A5F" w:rsidP="00072517">
            <w:pPr>
              <w:pStyle w:val="8VPT"/>
            </w:pPr>
            <w:r>
              <w:t>200</w:t>
            </w:r>
            <w:r w:rsidR="00BB08DA">
              <w:t xml:space="preserve"> </w:t>
            </w:r>
            <w:r>
              <w:t>000 Kč za každý zjištění případ</w:t>
            </w:r>
            <w:r w:rsidR="00003F02">
              <w:t xml:space="preserve"> a započatý měsíc poru</w:t>
            </w:r>
            <w:r w:rsidR="006E422A">
              <w:t>š</w:t>
            </w:r>
            <w:r w:rsidR="00003F02">
              <w:t>ení uvedené povinnosti.</w:t>
            </w:r>
          </w:p>
        </w:tc>
      </w:tr>
      <w:tr w:rsidR="00072517" w14:paraId="69D4A722" w14:textId="77777777" w:rsidTr="001923A0">
        <w:tc>
          <w:tcPr>
            <w:tcW w:w="3152" w:type="dxa"/>
            <w:vAlign w:val="center"/>
          </w:tcPr>
          <w:p w14:paraId="55613388" w14:textId="105F19E9" w:rsidR="00072517" w:rsidRPr="009432A4" w:rsidRDefault="007645D3" w:rsidP="00072517">
            <w:pPr>
              <w:pStyle w:val="6VlPT"/>
            </w:pPr>
            <w:r>
              <w:t>Nedodržení Doby pro dokončení</w:t>
            </w:r>
            <w:r w:rsidR="00EE1A79">
              <w:t xml:space="preserve"> každé jednotlivé sekce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0D02BE47" w14:textId="024B7E87" w:rsidR="00072517" w:rsidRDefault="00072517" w:rsidP="00072517">
            <w:pPr>
              <w:pStyle w:val="7ST"/>
            </w:pPr>
            <w:r>
              <w:t>(g)</w:t>
            </w:r>
          </w:p>
        </w:tc>
        <w:tc>
          <w:tcPr>
            <w:tcW w:w="5496" w:type="dxa"/>
            <w:vAlign w:val="center"/>
          </w:tcPr>
          <w:p w14:paraId="3D4A636A" w14:textId="6B9FD836" w:rsidR="00072517" w:rsidRDefault="00072517" w:rsidP="00072517">
            <w:pPr>
              <w:pStyle w:val="8VPT"/>
            </w:pPr>
            <w:r>
              <w:t xml:space="preserve">0,1 % z Přijaté </w:t>
            </w:r>
            <w:r w:rsidR="00A555B6">
              <w:t xml:space="preserve">celkové </w:t>
            </w:r>
            <w:r>
              <w:t xml:space="preserve">smluvní částky za každý započatý kalendářní den prodlení až </w:t>
            </w:r>
            <w:r w:rsidR="007645D3">
              <w:t>vydání Potvrzení o převzetí</w:t>
            </w:r>
            <w:r w:rsidR="009C4DE5">
              <w:t>. Řešeno u</w:t>
            </w:r>
            <w:r w:rsidR="00EE1A79">
              <w:t xml:space="preserve"> každé jednotlivé sekce</w:t>
            </w:r>
            <w:r w:rsidR="009C4DE5">
              <w:t xml:space="preserve"> samostatně</w:t>
            </w:r>
            <w:r w:rsidR="007645D3">
              <w:t>.</w:t>
            </w:r>
          </w:p>
        </w:tc>
      </w:tr>
      <w:tr w:rsidR="00B421B7" w14:paraId="2907F4F4" w14:textId="77777777" w:rsidTr="001923A0">
        <w:tc>
          <w:tcPr>
            <w:tcW w:w="3152" w:type="dxa"/>
            <w:vAlign w:val="center"/>
          </w:tcPr>
          <w:p w14:paraId="60A2CC8D" w14:textId="20114523" w:rsidR="00B421B7" w:rsidRDefault="00B421B7" w:rsidP="00B421B7">
            <w:pPr>
              <w:pStyle w:val="6VlPT"/>
            </w:pPr>
            <w:r>
              <w:t>Nepředložení Harmonogramu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608E1556" w14:textId="1AC22E57" w:rsidR="00B421B7" w:rsidRDefault="00B421B7" w:rsidP="00B421B7">
            <w:pPr>
              <w:pStyle w:val="7ST"/>
            </w:pPr>
            <w:r>
              <w:t>(h)</w:t>
            </w:r>
          </w:p>
        </w:tc>
        <w:tc>
          <w:tcPr>
            <w:tcW w:w="5496" w:type="dxa"/>
            <w:vAlign w:val="center"/>
          </w:tcPr>
          <w:p w14:paraId="45D57575" w14:textId="2463AEC9" w:rsidR="00B421B7" w:rsidRDefault="00B421B7" w:rsidP="00B421B7">
            <w:pPr>
              <w:pStyle w:val="8VPT"/>
            </w:pPr>
            <w:r>
              <w:t>0,01 % z Přijaté smluvní částky za každý započatý kalendářní den prodlení až prokazatelného předložení konkrétního harmonogramu.</w:t>
            </w:r>
          </w:p>
        </w:tc>
      </w:tr>
      <w:tr w:rsidR="009045A3" w14:paraId="556E08D5" w14:textId="77777777" w:rsidTr="001923A0">
        <w:tc>
          <w:tcPr>
            <w:tcW w:w="3152" w:type="dxa"/>
            <w:vAlign w:val="center"/>
          </w:tcPr>
          <w:p w14:paraId="38E30555" w14:textId="484DF362" w:rsidR="009045A3" w:rsidRDefault="009045A3" w:rsidP="009045A3">
            <w:pPr>
              <w:pStyle w:val="6VlPT"/>
            </w:pPr>
            <w:r>
              <w:t>Nepřerušení prací podle pokynu Správce stavby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7850585B" w14:textId="1699C3A5" w:rsidR="009045A3" w:rsidRDefault="009045A3" w:rsidP="009045A3">
            <w:pPr>
              <w:pStyle w:val="7ST"/>
            </w:pPr>
            <w:r>
              <w:t>(i)</w:t>
            </w:r>
          </w:p>
        </w:tc>
        <w:tc>
          <w:tcPr>
            <w:tcW w:w="5496" w:type="dxa"/>
            <w:vAlign w:val="center"/>
          </w:tcPr>
          <w:p w14:paraId="3D5A8A07" w14:textId="6595E3BF" w:rsidR="009045A3" w:rsidRDefault="009045A3" w:rsidP="009045A3">
            <w:pPr>
              <w:pStyle w:val="8VPT"/>
            </w:pPr>
            <w:r>
              <w:t>0,01 % z Přijaté smluvní částky za každý započatý kalendářní den prodlení až prokazatelného uposlechnutí pokynu Správce stavby.</w:t>
            </w:r>
          </w:p>
        </w:tc>
      </w:tr>
      <w:tr w:rsidR="009045A3" w14:paraId="7C8C0059" w14:textId="77777777" w:rsidTr="001923A0">
        <w:tc>
          <w:tcPr>
            <w:tcW w:w="3152" w:type="dxa"/>
            <w:vAlign w:val="center"/>
          </w:tcPr>
          <w:p w14:paraId="399080CA" w14:textId="3400454D" w:rsidR="009045A3" w:rsidRDefault="00561EBE" w:rsidP="009045A3">
            <w:pPr>
              <w:pStyle w:val="6VlPT"/>
            </w:pPr>
            <w:r>
              <w:t>Včasné neodstranění vady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77A9AB0F" w14:textId="3E095B45" w:rsidR="009045A3" w:rsidRDefault="00561EBE" w:rsidP="009045A3">
            <w:pPr>
              <w:pStyle w:val="7ST"/>
            </w:pPr>
            <w:r>
              <w:t>(j)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43144AF2" w14:textId="3348F396" w:rsidR="009045A3" w:rsidRDefault="00561EBE" w:rsidP="009045A3">
            <w:pPr>
              <w:pStyle w:val="8VPT"/>
            </w:pPr>
            <w:r>
              <w:t>0,05 % z Přijaté smluvní částky za každý započatý kalendářní den prodlení až vydání potvrzení o odstranění poslední vady</w:t>
            </w:r>
          </w:p>
        </w:tc>
      </w:tr>
      <w:tr w:rsidR="00561EBE" w14:paraId="692BDFB5" w14:textId="77777777" w:rsidTr="001923A0">
        <w:tc>
          <w:tcPr>
            <w:tcW w:w="3152" w:type="dxa"/>
            <w:vAlign w:val="center"/>
          </w:tcPr>
          <w:p w14:paraId="4B1A7395" w14:textId="2CF88693" w:rsidR="00561EBE" w:rsidRDefault="00DE4246" w:rsidP="009045A3">
            <w:pPr>
              <w:pStyle w:val="6VlPT"/>
            </w:pPr>
            <w:r>
              <w:t>Neuzavření po</w:t>
            </w:r>
            <w:r w:rsidR="00C15B38">
              <w:t>j</w:t>
            </w:r>
            <w:r>
              <w:t>istn</w:t>
            </w:r>
            <w:r w:rsidR="00C15B38">
              <w:t>é</w:t>
            </w:r>
            <w:r>
              <w:t xml:space="preserve"> smlouvy</w:t>
            </w:r>
          </w:p>
        </w:tc>
        <w:tc>
          <w:tcPr>
            <w:tcW w:w="991" w:type="dxa"/>
            <w:tcBorders>
              <w:bottom w:val="single" w:sz="4" w:space="0" w:color="auto"/>
              <w:tl2br w:val="nil"/>
            </w:tcBorders>
            <w:vAlign w:val="center"/>
          </w:tcPr>
          <w:p w14:paraId="50D0E72E" w14:textId="6324AC88" w:rsidR="00561EBE" w:rsidRDefault="00DE4246" w:rsidP="009045A3">
            <w:pPr>
              <w:pStyle w:val="7ST"/>
            </w:pPr>
            <w:r>
              <w:t>(k)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7941B78F" w14:textId="541BD576" w:rsidR="00561EBE" w:rsidRDefault="00561EBE" w:rsidP="009045A3">
            <w:pPr>
              <w:pStyle w:val="8VPT"/>
            </w:pPr>
          </w:p>
        </w:tc>
      </w:tr>
      <w:tr w:rsidR="0077410D" w14:paraId="00A571D9" w14:textId="77777777" w:rsidTr="001923A0">
        <w:tc>
          <w:tcPr>
            <w:tcW w:w="3152" w:type="dxa"/>
            <w:vAlign w:val="center"/>
          </w:tcPr>
          <w:p w14:paraId="7C8EB407" w14:textId="46B151ED" w:rsidR="0077410D" w:rsidRDefault="0077410D" w:rsidP="0077410D">
            <w:pPr>
              <w:pStyle w:val="913Pod-pod"/>
            </w:pPr>
            <w:r>
              <w:t>Neuzavření pojistné smlouvy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099D5972" w14:textId="77777777" w:rsidR="0077410D" w:rsidRDefault="0077410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47D2947" w14:textId="7B810395" w:rsidR="0077410D" w:rsidRDefault="0077410D" w:rsidP="009045A3">
            <w:pPr>
              <w:pStyle w:val="8VPT"/>
            </w:pPr>
            <w:r>
              <w:t>100</w:t>
            </w:r>
            <w:r w:rsidR="00BB08DA">
              <w:t xml:space="preserve"> </w:t>
            </w:r>
            <w:r>
              <w:t>000 Kč za každý zjištění případ a započatý měsíc takového porušení povinnosti.</w:t>
            </w:r>
          </w:p>
        </w:tc>
      </w:tr>
      <w:tr w:rsidR="0077410D" w14:paraId="13F003BE" w14:textId="77777777" w:rsidTr="001923A0">
        <w:tc>
          <w:tcPr>
            <w:tcW w:w="3152" w:type="dxa"/>
            <w:vAlign w:val="center"/>
          </w:tcPr>
          <w:p w14:paraId="5124377B" w14:textId="14DA8793" w:rsidR="0077410D" w:rsidRDefault="0077410D" w:rsidP="0077410D">
            <w:pPr>
              <w:pStyle w:val="913Pod-pod"/>
            </w:pPr>
            <w:r>
              <w:t>Nepředložení dokladu na výzvu Objednatele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75714312" w14:textId="77777777" w:rsidR="0077410D" w:rsidRDefault="0077410D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526FE21" w14:textId="677C1458" w:rsidR="0077410D" w:rsidRDefault="0077410D" w:rsidP="009045A3">
            <w:pPr>
              <w:pStyle w:val="8VPT"/>
            </w:pPr>
            <w:r>
              <w:t>5</w:t>
            </w:r>
            <w:r w:rsidR="00BB08DA">
              <w:t xml:space="preserve"> </w:t>
            </w:r>
            <w:r>
              <w:t>000 Kč za každý takový případ.</w:t>
            </w:r>
          </w:p>
        </w:tc>
      </w:tr>
      <w:tr w:rsidR="009045A3" w14:paraId="4E404064" w14:textId="77777777" w:rsidTr="001923A0">
        <w:tc>
          <w:tcPr>
            <w:tcW w:w="3152" w:type="dxa"/>
            <w:vAlign w:val="center"/>
          </w:tcPr>
          <w:p w14:paraId="525A6836" w14:textId="650DAAAC" w:rsidR="009045A3" w:rsidRPr="009432A4" w:rsidRDefault="009045A3" w:rsidP="009045A3">
            <w:pPr>
              <w:pStyle w:val="6VlPT"/>
            </w:pPr>
            <w:r>
              <w:t>Maximální celková výše smluvních pokut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15CC0A6" w14:textId="77777777" w:rsidR="009045A3" w:rsidRDefault="009045A3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E5782C4" w14:textId="6A57284B" w:rsidR="009045A3" w:rsidRDefault="009045A3" w:rsidP="009045A3">
            <w:pPr>
              <w:pStyle w:val="8VPT"/>
            </w:pPr>
            <w:r>
              <w:t>Nestanovuje se.</w:t>
            </w:r>
          </w:p>
        </w:tc>
      </w:tr>
      <w:tr w:rsidR="009045A3" w14:paraId="3BD5625E" w14:textId="77777777" w:rsidTr="001923A0">
        <w:tc>
          <w:tcPr>
            <w:tcW w:w="3152" w:type="dxa"/>
            <w:vAlign w:val="center"/>
          </w:tcPr>
          <w:p w14:paraId="5F62F23C" w14:textId="04AEB53F" w:rsidR="009045A3" w:rsidRPr="00F95392" w:rsidRDefault="009045A3" w:rsidP="009045A3">
            <w:pPr>
              <w:pStyle w:val="5VlT"/>
            </w:pPr>
            <w:r w:rsidRPr="00F95392">
              <w:t>Postupné závazné milníky</w:t>
            </w:r>
          </w:p>
        </w:tc>
        <w:tc>
          <w:tcPr>
            <w:tcW w:w="991" w:type="dxa"/>
            <w:vAlign w:val="center"/>
          </w:tcPr>
          <w:p w14:paraId="71F3DD6E" w14:textId="3D6BD361" w:rsidR="009045A3" w:rsidRDefault="009045A3" w:rsidP="009045A3">
            <w:pPr>
              <w:pStyle w:val="7ST"/>
            </w:pPr>
            <w:r>
              <w:t>4.28</w:t>
            </w:r>
          </w:p>
        </w:tc>
        <w:tc>
          <w:tcPr>
            <w:tcW w:w="5496" w:type="dxa"/>
            <w:vAlign w:val="center"/>
          </w:tcPr>
          <w:p w14:paraId="3382CBE8" w14:textId="4A3D70C1" w:rsidR="00E6372A" w:rsidRDefault="009045A3" w:rsidP="001C16F5">
            <w:pPr>
              <w:pStyle w:val="8VPT"/>
            </w:pPr>
            <w:r w:rsidRPr="00204733">
              <w:t>Nepoužije se.</w:t>
            </w:r>
          </w:p>
        </w:tc>
      </w:tr>
      <w:tr w:rsidR="009045A3" w14:paraId="26F6AA91" w14:textId="77777777" w:rsidTr="001923A0">
        <w:tc>
          <w:tcPr>
            <w:tcW w:w="3152" w:type="dxa"/>
            <w:vAlign w:val="center"/>
          </w:tcPr>
          <w:p w14:paraId="3D57B1D6" w14:textId="6BC1EE31" w:rsidR="009045A3" w:rsidRPr="009432A4" w:rsidRDefault="009045A3" w:rsidP="009045A3">
            <w:pPr>
              <w:pStyle w:val="5VlT"/>
            </w:pPr>
            <w:r>
              <w:lastRenderedPageBreak/>
              <w:t>Podmínky pro změnu podzhotovitele</w:t>
            </w:r>
          </w:p>
        </w:tc>
        <w:tc>
          <w:tcPr>
            <w:tcW w:w="991" w:type="dxa"/>
            <w:vAlign w:val="center"/>
          </w:tcPr>
          <w:p w14:paraId="684E3A27" w14:textId="09DBD19A" w:rsidR="009045A3" w:rsidRDefault="009045A3" w:rsidP="009045A3">
            <w:pPr>
              <w:pStyle w:val="7ST"/>
            </w:pPr>
            <w:r>
              <w:t>4.29</w:t>
            </w:r>
          </w:p>
        </w:tc>
        <w:tc>
          <w:tcPr>
            <w:tcW w:w="5496" w:type="dxa"/>
            <w:vAlign w:val="center"/>
          </w:tcPr>
          <w:p w14:paraId="35E73828" w14:textId="0157B771" w:rsidR="009045A3" w:rsidRDefault="009045A3" w:rsidP="009045A3">
            <w:pPr>
              <w:pStyle w:val="8VPT"/>
            </w:pPr>
            <w:r>
              <w:t>Podzhotovitelé, kterými byla prokázána kvalifikace v zadávacím řízení veřejné zakázky, jsou uvedení v Seznamu podzhotovitelů prokazujících kvalifikaci, který je součástí Formulářů.</w:t>
            </w:r>
          </w:p>
          <w:p w14:paraId="1C19DB16" w14:textId="76BB6A1C" w:rsidR="009045A3" w:rsidRDefault="009045A3" w:rsidP="009045A3">
            <w:pPr>
              <w:pStyle w:val="8VPT"/>
            </w:pPr>
            <w:r>
              <w:t>Není-li žádný takový podzhotovitel v Seznamu podzhotovitelů prokazujících kvalifikaci uveden, tento Pod-článek se nepoužije.</w:t>
            </w:r>
          </w:p>
        </w:tc>
      </w:tr>
      <w:tr w:rsidR="00AD0DE0" w14:paraId="50A6B7CB" w14:textId="77777777" w:rsidTr="001923A0">
        <w:tc>
          <w:tcPr>
            <w:tcW w:w="3152" w:type="dxa"/>
            <w:vAlign w:val="center"/>
          </w:tcPr>
          <w:p w14:paraId="50977201" w14:textId="24508D4C" w:rsidR="00AD0DE0" w:rsidRDefault="00AD0DE0" w:rsidP="009045A3">
            <w:pPr>
              <w:pStyle w:val="5VlT"/>
            </w:pPr>
            <w:r>
              <w:t>Nové hodnocení a finanční kompenzace</w:t>
            </w:r>
          </w:p>
        </w:tc>
        <w:tc>
          <w:tcPr>
            <w:tcW w:w="991" w:type="dxa"/>
            <w:vAlign w:val="center"/>
          </w:tcPr>
          <w:p w14:paraId="5CFD64A8" w14:textId="15F063FF" w:rsidR="00AD0DE0" w:rsidRDefault="00AD0DE0" w:rsidP="009045A3">
            <w:pPr>
              <w:pStyle w:val="7ST"/>
            </w:pPr>
            <w:r>
              <w:t>4.31</w:t>
            </w:r>
          </w:p>
        </w:tc>
        <w:tc>
          <w:tcPr>
            <w:tcW w:w="5496" w:type="dxa"/>
            <w:vAlign w:val="center"/>
          </w:tcPr>
          <w:p w14:paraId="000B6823" w14:textId="57ED2405" w:rsidR="00AD0DE0" w:rsidRDefault="004C561A" w:rsidP="009045A3">
            <w:pPr>
              <w:pStyle w:val="8VPT"/>
            </w:pPr>
            <w:r w:rsidRPr="00553227">
              <w:t>Nepoužije se.</w:t>
            </w:r>
          </w:p>
        </w:tc>
      </w:tr>
      <w:tr w:rsidR="009045A3" w14:paraId="0A17336B" w14:textId="77777777" w:rsidTr="001923A0">
        <w:tc>
          <w:tcPr>
            <w:tcW w:w="3152" w:type="dxa"/>
            <w:vAlign w:val="center"/>
          </w:tcPr>
          <w:p w14:paraId="238C620B" w14:textId="38DEE742" w:rsidR="009045A3" w:rsidRPr="009432A4" w:rsidRDefault="009045A3" w:rsidP="009045A3">
            <w:pPr>
              <w:pStyle w:val="5VlT"/>
            </w:pPr>
            <w:r>
              <w:t>Personál zhotovitele</w:t>
            </w:r>
          </w:p>
        </w:tc>
        <w:tc>
          <w:tcPr>
            <w:tcW w:w="991" w:type="dxa"/>
            <w:vAlign w:val="center"/>
          </w:tcPr>
          <w:p w14:paraId="5B99FC03" w14:textId="5A5A9A21" w:rsidR="009045A3" w:rsidRPr="00BF48BE" w:rsidRDefault="009045A3" w:rsidP="00BF48BE">
            <w:pPr>
              <w:pStyle w:val="7ST"/>
            </w:pPr>
            <w:r>
              <w:t>6.9</w:t>
            </w:r>
          </w:p>
        </w:tc>
        <w:tc>
          <w:tcPr>
            <w:tcW w:w="5496" w:type="dxa"/>
            <w:vAlign w:val="center"/>
          </w:tcPr>
          <w:p w14:paraId="3D65EBE3" w14:textId="055A9309" w:rsidR="009045A3" w:rsidRPr="008B1937" w:rsidRDefault="009045A3" w:rsidP="009045A3">
            <w:pPr>
              <w:pStyle w:val="8VPT"/>
            </w:pPr>
            <w:r w:rsidRPr="008B1937">
              <w:t xml:space="preserve">Objednatel v rámci zadávacího řízení veřejné zakázky stanovil požadavek na prokázání kvalifikace odborného personálu </w:t>
            </w:r>
            <w:r w:rsidR="00E30711" w:rsidRPr="008B1937">
              <w:t>Z</w:t>
            </w:r>
            <w:r w:rsidRPr="008B1937">
              <w:t xml:space="preserve">hotovitele, a to na klíčovou osobu </w:t>
            </w:r>
            <w:r w:rsidR="00A45346">
              <w:rPr>
                <w:b/>
              </w:rPr>
              <w:t>Stavbyvedoucího.</w:t>
            </w:r>
            <w:r w:rsidRPr="008B1937" w:rsidDel="00767BC4">
              <w:t xml:space="preserve"> </w:t>
            </w:r>
          </w:p>
        </w:tc>
      </w:tr>
      <w:tr w:rsidR="009045A3" w14:paraId="4AB3DCB2" w14:textId="77777777" w:rsidTr="001923A0">
        <w:tc>
          <w:tcPr>
            <w:tcW w:w="3152" w:type="dxa"/>
            <w:vAlign w:val="center"/>
          </w:tcPr>
          <w:p w14:paraId="6CC8B0AB" w14:textId="36EA78CE" w:rsidR="009045A3" w:rsidRPr="009432A4" w:rsidRDefault="009045A3" w:rsidP="009045A3">
            <w:pPr>
              <w:pStyle w:val="5VlT"/>
            </w:pPr>
            <w:r>
              <w:t>Harmonogram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6A2E7E90" w14:textId="5C294270" w:rsidR="009045A3" w:rsidRDefault="009045A3" w:rsidP="009045A3">
            <w:pPr>
              <w:pStyle w:val="7ST"/>
            </w:pPr>
            <w:r>
              <w:t>8.3</w:t>
            </w:r>
          </w:p>
        </w:tc>
        <w:tc>
          <w:tcPr>
            <w:tcW w:w="5496" w:type="dxa"/>
            <w:vAlign w:val="center"/>
          </w:tcPr>
          <w:p w14:paraId="14BA50A1" w14:textId="60AD0B87" w:rsidR="009045A3" w:rsidRDefault="009045A3" w:rsidP="009045A3">
            <w:pPr>
              <w:pStyle w:val="8VPT"/>
            </w:pPr>
          </w:p>
        </w:tc>
      </w:tr>
      <w:tr w:rsidR="0067213F" w14:paraId="0AED7169" w14:textId="77777777" w:rsidTr="001923A0">
        <w:tc>
          <w:tcPr>
            <w:tcW w:w="3152" w:type="dxa"/>
            <w:vAlign w:val="center"/>
          </w:tcPr>
          <w:p w14:paraId="139EFD65" w14:textId="40F5DC7C" w:rsidR="0067213F" w:rsidRDefault="0067213F" w:rsidP="0067213F">
            <w:pPr>
              <w:pStyle w:val="6VlPT"/>
            </w:pPr>
            <w:r>
              <w:t>Metodika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556BC83C" w14:textId="77777777" w:rsidR="0067213F" w:rsidRDefault="0067213F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2ED76A6" w14:textId="30B43CD5" w:rsidR="00C259A5" w:rsidRDefault="0067213F" w:rsidP="00C259A5">
            <w:pPr>
              <w:pStyle w:val="8VPT"/>
            </w:pPr>
            <w:r>
              <w:t xml:space="preserve">Forma a požadavky na Harmonogram se řídí Metodikou pro časové řízení u stavebních zakázek podle smluvních podmínek FIDIC (1. vydání, leden 2018) dostupné na adrese </w:t>
            </w:r>
            <w:hyperlink r:id="rId11" w:history="1">
              <w:r w:rsidR="00C259A5" w:rsidRPr="00657661">
                <w:rPr>
                  <w:rStyle w:val="Hypertextovodkaz"/>
                </w:rPr>
                <w:t>https://sfdi.gov.cz/pravidla-a-metodiky/metodiky-schvalovane-sfdi/</w:t>
              </w:r>
            </w:hyperlink>
          </w:p>
        </w:tc>
      </w:tr>
      <w:tr w:rsidR="0067213F" w14:paraId="5D898508" w14:textId="77777777" w:rsidTr="001923A0">
        <w:tc>
          <w:tcPr>
            <w:tcW w:w="3152" w:type="dxa"/>
            <w:vAlign w:val="center"/>
          </w:tcPr>
          <w:p w14:paraId="215037CE" w14:textId="7DED743D" w:rsidR="0067213F" w:rsidRDefault="0067213F" w:rsidP="0067213F">
            <w:pPr>
              <w:pStyle w:val="6VlPT"/>
            </w:pPr>
            <w:r>
              <w:t>Předkládání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1D79928F" w14:textId="77777777" w:rsidR="0067213F" w:rsidRDefault="0067213F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4FF2F1D0" w14:textId="49F9ACFD" w:rsidR="0067213F" w:rsidRDefault="0067213F" w:rsidP="009045A3">
            <w:pPr>
              <w:pStyle w:val="8VPT"/>
            </w:pPr>
            <w:r>
              <w:t>Požadavky na předložení počátečního a každého dalšího harmonogramu jsou stanoveny v Příloze k </w:t>
            </w:r>
            <w:proofErr w:type="gramStart"/>
            <w:r>
              <w:t>nabídce</w:t>
            </w:r>
            <w:proofErr w:type="gramEnd"/>
            <w:r>
              <w:t xml:space="preserve"> a</w:t>
            </w:r>
            <w:r w:rsidR="009324DC">
              <w:t> </w:t>
            </w:r>
            <w:r>
              <w:t>nikoliv Technické specifikaci.</w:t>
            </w:r>
          </w:p>
          <w:p w14:paraId="5BF83EAE" w14:textId="3F919AF8" w:rsidR="0067213F" w:rsidRDefault="0067213F" w:rsidP="009045A3">
            <w:pPr>
              <w:pStyle w:val="8VPT"/>
            </w:pPr>
            <w:r>
              <w:t>Počáteční a každý další harmonogram budou předloženy v jedné tištěné verzi a jedné elektronické editovatelné verzi.</w:t>
            </w:r>
          </w:p>
        </w:tc>
      </w:tr>
      <w:tr w:rsidR="001403FE" w14:paraId="0F2A8088" w14:textId="77777777" w:rsidTr="001923A0">
        <w:tc>
          <w:tcPr>
            <w:tcW w:w="3152" w:type="dxa"/>
            <w:vAlign w:val="center"/>
          </w:tcPr>
          <w:p w14:paraId="49F92900" w14:textId="173ED363" w:rsidR="001403FE" w:rsidRDefault="001403FE" w:rsidP="0067213F">
            <w:pPr>
              <w:pStyle w:val="6VlPT"/>
            </w:pPr>
            <w:r>
              <w:t>Rozsah harmonogramu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76A6CE1F" w14:textId="77777777" w:rsidR="001403FE" w:rsidRDefault="001403FE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3D68C72" w14:textId="77777777" w:rsidR="001403FE" w:rsidRPr="00553227" w:rsidRDefault="001403FE" w:rsidP="009045A3">
            <w:pPr>
              <w:pStyle w:val="8VPT"/>
            </w:pPr>
            <w:r w:rsidRPr="00553227">
              <w:t>Nestanovuje se odlišný požadavek na rozsah.</w:t>
            </w:r>
          </w:p>
          <w:p w14:paraId="783E7564" w14:textId="09743A64" w:rsidR="001403FE" w:rsidRDefault="001403FE" w:rsidP="009045A3">
            <w:pPr>
              <w:pStyle w:val="8VPT"/>
            </w:pPr>
          </w:p>
        </w:tc>
      </w:tr>
      <w:tr w:rsidR="009045A3" w14:paraId="1AE6E455" w14:textId="77777777" w:rsidTr="001923A0">
        <w:tc>
          <w:tcPr>
            <w:tcW w:w="3152" w:type="dxa"/>
            <w:vAlign w:val="center"/>
          </w:tcPr>
          <w:p w14:paraId="1D5831A3" w14:textId="702CFD03" w:rsidR="009045A3" w:rsidRPr="009432A4" w:rsidRDefault="009045A3" w:rsidP="009045A3">
            <w:pPr>
              <w:pStyle w:val="5VlT"/>
            </w:pPr>
            <w:r>
              <w:t>Smluvní pokuta za zpoždění</w:t>
            </w:r>
          </w:p>
        </w:tc>
        <w:tc>
          <w:tcPr>
            <w:tcW w:w="991" w:type="dxa"/>
            <w:vAlign w:val="center"/>
          </w:tcPr>
          <w:p w14:paraId="5B74EA9E" w14:textId="08F3466B" w:rsidR="009045A3" w:rsidRDefault="009045A3" w:rsidP="009045A3">
            <w:pPr>
              <w:pStyle w:val="7ST"/>
            </w:pPr>
            <w:r>
              <w:t>8.7</w:t>
            </w:r>
          </w:p>
        </w:tc>
        <w:tc>
          <w:tcPr>
            <w:tcW w:w="5496" w:type="dxa"/>
            <w:vAlign w:val="center"/>
          </w:tcPr>
          <w:p w14:paraId="2F599647" w14:textId="42F36C35" w:rsidR="009045A3" w:rsidRDefault="009045A3" w:rsidP="009045A3">
            <w:pPr>
              <w:pStyle w:val="8VPT"/>
            </w:pPr>
            <w:r>
              <w:t>Smluvní pokuta za zpoždění je částka stanovená v této Příloze k nabídce ve smyslu Pod-článku 4.28 písm. (d), zde nazvaná jako „</w:t>
            </w:r>
            <w:r w:rsidRPr="00AF3303">
              <w:rPr>
                <w:i/>
              </w:rPr>
              <w:t>Nedodržení Doby pro dokončení podle Pod-článku 8.2</w:t>
            </w:r>
            <w:r>
              <w:t>“.</w:t>
            </w:r>
          </w:p>
        </w:tc>
      </w:tr>
      <w:tr w:rsidR="00C14CC0" w14:paraId="0F129CC4" w14:textId="77777777" w:rsidTr="001923A0">
        <w:tc>
          <w:tcPr>
            <w:tcW w:w="3152" w:type="dxa"/>
            <w:vAlign w:val="center"/>
          </w:tcPr>
          <w:p w14:paraId="452FE598" w14:textId="21B71124" w:rsidR="00C14CC0" w:rsidRDefault="00C14CC0" w:rsidP="009045A3">
            <w:pPr>
              <w:pStyle w:val="5VlT"/>
            </w:pPr>
            <w:r>
              <w:t>Předčasné užívání</w:t>
            </w:r>
          </w:p>
        </w:tc>
        <w:tc>
          <w:tcPr>
            <w:tcW w:w="991" w:type="dxa"/>
          </w:tcPr>
          <w:p w14:paraId="5987D6C7" w14:textId="24A90571" w:rsidR="00C14CC0" w:rsidRDefault="00C14CC0" w:rsidP="009045A3">
            <w:pPr>
              <w:pStyle w:val="7ST"/>
            </w:pPr>
            <w:r>
              <w:t>10.5</w:t>
            </w:r>
          </w:p>
        </w:tc>
        <w:tc>
          <w:tcPr>
            <w:tcW w:w="5496" w:type="dxa"/>
            <w:vAlign w:val="center"/>
          </w:tcPr>
          <w:p w14:paraId="4B4772F9" w14:textId="7D680BA0" w:rsidR="00C14CC0" w:rsidRPr="004325F1" w:rsidRDefault="00C14CC0" w:rsidP="009045A3">
            <w:pPr>
              <w:pStyle w:val="8VPT"/>
            </w:pPr>
            <w:r w:rsidRPr="00553227">
              <w:t>Nepoužije se.</w:t>
            </w:r>
          </w:p>
        </w:tc>
      </w:tr>
      <w:tr w:rsidR="00C14CC0" w14:paraId="063EEA86" w14:textId="77777777" w:rsidTr="001923A0">
        <w:tc>
          <w:tcPr>
            <w:tcW w:w="3152" w:type="dxa"/>
            <w:vAlign w:val="center"/>
          </w:tcPr>
          <w:p w14:paraId="184D8229" w14:textId="3F6A7F32" w:rsidR="00C14CC0" w:rsidRDefault="00C14CC0" w:rsidP="009045A3">
            <w:pPr>
              <w:pStyle w:val="5VlT"/>
            </w:pPr>
            <w:r>
              <w:t>Ověření funkčnosti Díla nebo Sekce</w:t>
            </w:r>
          </w:p>
        </w:tc>
        <w:tc>
          <w:tcPr>
            <w:tcW w:w="991" w:type="dxa"/>
          </w:tcPr>
          <w:p w14:paraId="70870CE6" w14:textId="15020F9F" w:rsidR="00C14CC0" w:rsidRDefault="00C14CC0" w:rsidP="009045A3">
            <w:pPr>
              <w:pStyle w:val="7ST"/>
            </w:pPr>
            <w:r>
              <w:t>10.7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806C1A1" w14:textId="26829C0F" w:rsidR="00C14CC0" w:rsidRPr="00553227" w:rsidRDefault="00C14CC0" w:rsidP="009045A3">
            <w:pPr>
              <w:pStyle w:val="8VPT"/>
            </w:pPr>
            <w:r w:rsidRPr="00553227">
              <w:t>Nepoužije se.</w:t>
            </w:r>
          </w:p>
        </w:tc>
      </w:tr>
      <w:tr w:rsidR="009045A3" w14:paraId="5D425759" w14:textId="77777777" w:rsidTr="001923A0">
        <w:tc>
          <w:tcPr>
            <w:tcW w:w="3152" w:type="dxa"/>
            <w:vAlign w:val="center"/>
          </w:tcPr>
          <w:p w14:paraId="72290413" w14:textId="770FD9D2" w:rsidR="009045A3" w:rsidRDefault="009045A3" w:rsidP="009045A3">
            <w:pPr>
              <w:pStyle w:val="5VlT"/>
            </w:pPr>
            <w:r>
              <w:t>Měření</w:t>
            </w:r>
            <w:r w:rsidR="00202F13">
              <w:t xml:space="preserve"> díla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14:paraId="2A8E34C1" w14:textId="2767C76C" w:rsidR="009045A3" w:rsidRDefault="009045A3" w:rsidP="009045A3">
            <w:pPr>
              <w:pStyle w:val="7ST"/>
            </w:pPr>
            <w:r>
              <w:t>12.</w:t>
            </w:r>
            <w:r w:rsidR="00202F13">
              <w:t>1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2C8AA0AA" w14:textId="5AB4185B" w:rsidR="009045A3" w:rsidRDefault="009045A3" w:rsidP="009045A3">
            <w:pPr>
              <w:pStyle w:val="8VPT"/>
            </w:pPr>
          </w:p>
        </w:tc>
      </w:tr>
      <w:tr w:rsidR="00802018" w14:paraId="6704E9DC" w14:textId="77777777" w:rsidTr="001923A0">
        <w:tc>
          <w:tcPr>
            <w:tcW w:w="3152" w:type="dxa"/>
            <w:vAlign w:val="center"/>
          </w:tcPr>
          <w:p w14:paraId="6A94486F" w14:textId="1D99A319" w:rsidR="00802018" w:rsidRDefault="00802018" w:rsidP="00802018">
            <w:pPr>
              <w:pStyle w:val="6VlPT"/>
            </w:pPr>
            <w:r>
              <w:t>Neměřené položky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55ABC116" w14:textId="77777777" w:rsidR="00802018" w:rsidRDefault="00802018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1B4A7A" w14:textId="0C9A40C5" w:rsidR="00802018" w:rsidRPr="00202F13" w:rsidRDefault="00802018" w:rsidP="00802018">
            <w:pPr>
              <w:pStyle w:val="8VPT"/>
              <w:rPr>
                <w:highlight w:val="yellow"/>
              </w:rPr>
            </w:pPr>
            <w:r w:rsidRPr="00553227">
              <w:t xml:space="preserve">Položky označené ve Výkazu výměr měrnou jednotkou </w:t>
            </w:r>
            <w:r w:rsidR="00A45D5E">
              <w:t>„</w:t>
            </w:r>
            <w:proofErr w:type="spellStart"/>
            <w:r w:rsidRPr="00553227">
              <w:t>kpl</w:t>
            </w:r>
            <w:proofErr w:type="spellEnd"/>
            <w:r w:rsidR="00A45D5E">
              <w:t>“</w:t>
            </w:r>
            <w:r w:rsidRPr="00553227">
              <w:t xml:space="preserve"> se neměří.</w:t>
            </w:r>
          </w:p>
        </w:tc>
      </w:tr>
      <w:tr w:rsidR="00802018" w14:paraId="2ECB9595" w14:textId="77777777" w:rsidTr="001923A0">
        <w:tc>
          <w:tcPr>
            <w:tcW w:w="3152" w:type="dxa"/>
            <w:vAlign w:val="center"/>
          </w:tcPr>
          <w:p w14:paraId="001C7CE6" w14:textId="60A462DE" w:rsidR="00802018" w:rsidRDefault="00802018" w:rsidP="00802018">
            <w:pPr>
              <w:pStyle w:val="6VlPT"/>
            </w:pPr>
            <w:r>
              <w:t>Omezení měření položek z Výkazu výměr</w:t>
            </w:r>
          </w:p>
        </w:tc>
        <w:tc>
          <w:tcPr>
            <w:tcW w:w="991" w:type="dxa"/>
            <w:tcBorders>
              <w:tl2br w:val="single" w:sz="4" w:space="0" w:color="auto"/>
            </w:tcBorders>
          </w:tcPr>
          <w:p w14:paraId="5FF046C4" w14:textId="77777777" w:rsidR="00802018" w:rsidRDefault="00802018" w:rsidP="009045A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1FD7A46C" w14:textId="5B3323AD" w:rsidR="00802018" w:rsidRPr="00202F13" w:rsidRDefault="006E2974" w:rsidP="00802018">
            <w:pPr>
              <w:pStyle w:val="8VPT"/>
              <w:rPr>
                <w:highlight w:val="yellow"/>
              </w:rPr>
            </w:pPr>
            <w:r w:rsidRPr="006E2974">
              <w:t>Nepoužije se.</w:t>
            </w:r>
          </w:p>
        </w:tc>
      </w:tr>
      <w:tr w:rsidR="00120573" w14:paraId="78339668" w14:textId="77777777" w:rsidTr="001923A0">
        <w:tc>
          <w:tcPr>
            <w:tcW w:w="3152" w:type="dxa"/>
            <w:vAlign w:val="center"/>
          </w:tcPr>
          <w:p w14:paraId="18DD7D01" w14:textId="1510D22F" w:rsidR="00120573" w:rsidRDefault="00120573" w:rsidP="00120573">
            <w:pPr>
              <w:pStyle w:val="5VlT"/>
            </w:pPr>
            <w:r>
              <w:t>Měření</w:t>
            </w:r>
          </w:p>
        </w:tc>
        <w:tc>
          <w:tcPr>
            <w:tcW w:w="991" w:type="dxa"/>
          </w:tcPr>
          <w:p w14:paraId="0411537A" w14:textId="3E12952F" w:rsidR="00120573" w:rsidRDefault="00120573" w:rsidP="00120573">
            <w:pPr>
              <w:pStyle w:val="7ST"/>
            </w:pPr>
            <w:r>
              <w:t>12.2</w:t>
            </w:r>
          </w:p>
        </w:tc>
        <w:tc>
          <w:tcPr>
            <w:tcW w:w="5496" w:type="dxa"/>
            <w:vAlign w:val="center"/>
          </w:tcPr>
          <w:p w14:paraId="27BC2712" w14:textId="4819C549" w:rsidR="00120573" w:rsidRDefault="00120573" w:rsidP="00120573">
            <w:pPr>
              <w:pStyle w:val="8VPT"/>
            </w:pPr>
            <w:r w:rsidRPr="006E2974">
              <w:t>Nepoužije se.</w:t>
            </w:r>
          </w:p>
        </w:tc>
      </w:tr>
      <w:tr w:rsidR="00120573" w14:paraId="6CCB0CCF" w14:textId="77777777" w:rsidTr="001923A0">
        <w:tc>
          <w:tcPr>
            <w:tcW w:w="3152" w:type="dxa"/>
            <w:vAlign w:val="center"/>
          </w:tcPr>
          <w:p w14:paraId="6E004845" w14:textId="368091FB" w:rsidR="00120573" w:rsidRPr="009432A4" w:rsidRDefault="00120573" w:rsidP="00120573">
            <w:pPr>
              <w:pStyle w:val="5VlT"/>
            </w:pPr>
            <w:r>
              <w:t>Oceňování</w:t>
            </w:r>
          </w:p>
        </w:tc>
        <w:tc>
          <w:tcPr>
            <w:tcW w:w="991" w:type="dxa"/>
          </w:tcPr>
          <w:p w14:paraId="1BE179F4" w14:textId="7D6D1F26" w:rsidR="00120573" w:rsidRDefault="00120573" w:rsidP="00120573">
            <w:pPr>
              <w:pStyle w:val="7ST"/>
            </w:pPr>
            <w:r>
              <w:t>12.3</w:t>
            </w:r>
          </w:p>
        </w:tc>
        <w:tc>
          <w:tcPr>
            <w:tcW w:w="5496" w:type="dxa"/>
            <w:vAlign w:val="center"/>
          </w:tcPr>
          <w:p w14:paraId="341034EC" w14:textId="71734086" w:rsidR="00120573" w:rsidRDefault="00120573" w:rsidP="00120573">
            <w:pPr>
              <w:pStyle w:val="8VPT"/>
            </w:pPr>
            <w:r>
              <w:t>Cenovou soustavou dle pod-odstavce (c) předmětného Pod-článku je cenová soustava URS.</w:t>
            </w:r>
          </w:p>
        </w:tc>
      </w:tr>
      <w:tr w:rsidR="00120573" w14:paraId="15C9F7D5" w14:textId="77777777" w:rsidTr="001923A0">
        <w:tc>
          <w:tcPr>
            <w:tcW w:w="3152" w:type="dxa"/>
            <w:vAlign w:val="center"/>
          </w:tcPr>
          <w:p w14:paraId="62C1FB47" w14:textId="71738BC5" w:rsidR="00120573" w:rsidRDefault="00120573" w:rsidP="00120573">
            <w:pPr>
              <w:pStyle w:val="5VlT"/>
            </w:pPr>
            <w:r>
              <w:lastRenderedPageBreak/>
              <w:t>Právo na variaci</w:t>
            </w:r>
          </w:p>
        </w:tc>
        <w:tc>
          <w:tcPr>
            <w:tcW w:w="991" w:type="dxa"/>
          </w:tcPr>
          <w:p w14:paraId="46D1BE9D" w14:textId="217B07B5" w:rsidR="00120573" w:rsidRDefault="00120573" w:rsidP="00120573">
            <w:pPr>
              <w:pStyle w:val="7ST"/>
            </w:pPr>
            <w:r>
              <w:t>13.1</w:t>
            </w:r>
          </w:p>
        </w:tc>
        <w:tc>
          <w:tcPr>
            <w:tcW w:w="5496" w:type="dxa"/>
            <w:vAlign w:val="center"/>
          </w:tcPr>
          <w:p w14:paraId="778A757B" w14:textId="0F890E35" w:rsidR="00120573" w:rsidRDefault="00120573" w:rsidP="00120573">
            <w:pPr>
              <w:pStyle w:val="8VPT"/>
            </w:pPr>
            <w:r>
              <w:t>Postup při Variacích řeší příloha této Přílohy k nabídce nazvaná „Postup při Variaci“.</w:t>
            </w:r>
          </w:p>
        </w:tc>
      </w:tr>
      <w:tr w:rsidR="00120573" w14:paraId="614845AA" w14:textId="77777777" w:rsidTr="001923A0">
        <w:tc>
          <w:tcPr>
            <w:tcW w:w="3152" w:type="dxa"/>
            <w:vAlign w:val="center"/>
          </w:tcPr>
          <w:p w14:paraId="06FAD66F" w14:textId="2CA57A67" w:rsidR="00120573" w:rsidRDefault="00120573" w:rsidP="00120573">
            <w:pPr>
              <w:pStyle w:val="5VlT"/>
            </w:pPr>
            <w:r>
              <w:t>Postup při Variaci</w:t>
            </w:r>
          </w:p>
        </w:tc>
        <w:tc>
          <w:tcPr>
            <w:tcW w:w="991" w:type="dxa"/>
          </w:tcPr>
          <w:p w14:paraId="60010377" w14:textId="63558D9E" w:rsidR="00120573" w:rsidRDefault="00120573" w:rsidP="00120573">
            <w:pPr>
              <w:pStyle w:val="7ST"/>
            </w:pPr>
            <w:r>
              <w:t>13.3</w:t>
            </w:r>
          </w:p>
        </w:tc>
        <w:tc>
          <w:tcPr>
            <w:tcW w:w="5496" w:type="dxa"/>
            <w:vAlign w:val="center"/>
          </w:tcPr>
          <w:p w14:paraId="21EECD57" w14:textId="1B50628F" w:rsidR="00120573" w:rsidRDefault="00120573" w:rsidP="00120573">
            <w:pPr>
              <w:pStyle w:val="8VPT"/>
            </w:pPr>
            <w:r>
              <w:t>Nedohodnou-li se Strany jinak, je Zhotovitel povinen návrh Zhotovitele na ocenění Variace dle písm. c) předmětného Pod-článku předat rovněž v elektronické podobě ve formátu XLS (soubor *.</w:t>
            </w:r>
            <w:proofErr w:type="spellStart"/>
            <w:r>
              <w:t>xls</w:t>
            </w:r>
            <w:proofErr w:type="spellEnd"/>
            <w:r>
              <w:t>).</w:t>
            </w:r>
          </w:p>
        </w:tc>
      </w:tr>
      <w:tr w:rsidR="00120573" w14:paraId="4DF21586" w14:textId="77777777" w:rsidTr="001923A0">
        <w:tc>
          <w:tcPr>
            <w:tcW w:w="3152" w:type="dxa"/>
            <w:vAlign w:val="center"/>
          </w:tcPr>
          <w:p w14:paraId="029EA4EA" w14:textId="67A7071E" w:rsidR="00120573" w:rsidRPr="009432A4" w:rsidRDefault="00120573" w:rsidP="00120573">
            <w:pPr>
              <w:pStyle w:val="5VlT"/>
            </w:pPr>
            <w:r>
              <w:t>Podmíněné obnosy</w:t>
            </w:r>
          </w:p>
        </w:tc>
        <w:tc>
          <w:tcPr>
            <w:tcW w:w="991" w:type="dxa"/>
          </w:tcPr>
          <w:p w14:paraId="1B2943BB" w14:textId="0DC8E8E9" w:rsidR="00120573" w:rsidRDefault="00120573" w:rsidP="00120573">
            <w:pPr>
              <w:pStyle w:val="7ST"/>
            </w:pPr>
            <w:r>
              <w:t>13.5</w:t>
            </w:r>
          </w:p>
        </w:tc>
        <w:tc>
          <w:tcPr>
            <w:tcW w:w="5496" w:type="dxa"/>
            <w:vAlign w:val="center"/>
          </w:tcPr>
          <w:p w14:paraId="1918228C" w14:textId="2369ED5A" w:rsidR="00120573" w:rsidRDefault="00120573" w:rsidP="00120573">
            <w:pPr>
              <w:pStyle w:val="8VPT"/>
            </w:pPr>
            <w:r>
              <w:t>Procentní sazba není stanovena.</w:t>
            </w:r>
          </w:p>
        </w:tc>
      </w:tr>
      <w:tr w:rsidR="00120573" w14:paraId="7B2A08AA" w14:textId="77777777" w:rsidTr="001923A0">
        <w:tc>
          <w:tcPr>
            <w:tcW w:w="3152" w:type="dxa"/>
            <w:vAlign w:val="center"/>
          </w:tcPr>
          <w:p w14:paraId="789BC7D9" w14:textId="443491D8" w:rsidR="00120573" w:rsidRPr="009432A4" w:rsidRDefault="00120573" w:rsidP="00120573">
            <w:pPr>
              <w:pStyle w:val="5VlT"/>
            </w:pPr>
            <w:r>
              <w:t>Úpravy v důsledku změn nákladů</w:t>
            </w:r>
          </w:p>
        </w:tc>
        <w:tc>
          <w:tcPr>
            <w:tcW w:w="991" w:type="dxa"/>
            <w:vAlign w:val="center"/>
          </w:tcPr>
          <w:p w14:paraId="0B4ED429" w14:textId="2FCBE5AF" w:rsidR="00120573" w:rsidRDefault="00120573" w:rsidP="00120573">
            <w:pPr>
              <w:pStyle w:val="7ST"/>
            </w:pPr>
            <w:r>
              <w:t>13.8</w:t>
            </w:r>
          </w:p>
        </w:tc>
        <w:tc>
          <w:tcPr>
            <w:tcW w:w="5496" w:type="dxa"/>
            <w:vAlign w:val="center"/>
          </w:tcPr>
          <w:p w14:paraId="6A2DD3FA" w14:textId="0991820B" w:rsidR="00120573" w:rsidRDefault="00120573" w:rsidP="00120573">
            <w:pPr>
              <w:pStyle w:val="8VPT"/>
            </w:pPr>
            <w:r>
              <w:t>Úpravy cen v důsledku změn nákladů nejsou povoleny.</w:t>
            </w:r>
          </w:p>
        </w:tc>
      </w:tr>
      <w:tr w:rsidR="00120573" w14:paraId="722D3CEC" w14:textId="77777777" w:rsidTr="001923A0">
        <w:tc>
          <w:tcPr>
            <w:tcW w:w="3152" w:type="dxa"/>
            <w:vAlign w:val="center"/>
          </w:tcPr>
          <w:p w14:paraId="61EF04CB" w14:textId="0907AFE3" w:rsidR="00120573" w:rsidRPr="009432A4" w:rsidRDefault="00120573" w:rsidP="00120573">
            <w:pPr>
              <w:pStyle w:val="5VlT"/>
            </w:pPr>
            <w:r>
              <w:t>Zálohová platba</w:t>
            </w:r>
          </w:p>
        </w:tc>
        <w:tc>
          <w:tcPr>
            <w:tcW w:w="991" w:type="dxa"/>
            <w:vAlign w:val="center"/>
          </w:tcPr>
          <w:p w14:paraId="2997CEA4" w14:textId="06F34ADF" w:rsidR="00120573" w:rsidRDefault="00120573" w:rsidP="00120573">
            <w:pPr>
              <w:pStyle w:val="7ST"/>
            </w:pPr>
            <w:r>
              <w:t>14.2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FDF3CD3" w14:textId="4107AA17" w:rsidR="00120573" w:rsidRDefault="00120573" w:rsidP="00120573">
            <w:pPr>
              <w:pStyle w:val="8VPT"/>
            </w:pPr>
            <w:r>
              <w:t>Zálohová platba se nestanovuje.</w:t>
            </w:r>
          </w:p>
        </w:tc>
      </w:tr>
      <w:tr w:rsidR="00120573" w14:paraId="7B64CAC9" w14:textId="77777777" w:rsidTr="001923A0">
        <w:tc>
          <w:tcPr>
            <w:tcW w:w="3152" w:type="dxa"/>
            <w:vAlign w:val="center"/>
          </w:tcPr>
          <w:p w14:paraId="3A17D826" w14:textId="64C479CD" w:rsidR="00120573" w:rsidRDefault="00120573" w:rsidP="00120573">
            <w:pPr>
              <w:pStyle w:val="5VlT"/>
            </w:pPr>
            <w:r>
              <w:t>Žádost o potvrzení průběžné platby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3FCBED77" w14:textId="6081A62E" w:rsidR="00120573" w:rsidRDefault="00120573" w:rsidP="00120573">
            <w:pPr>
              <w:pStyle w:val="7ST"/>
            </w:pPr>
            <w:r>
              <w:t>14.3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0D61C8E6" w14:textId="45720DA0" w:rsidR="00120573" w:rsidRDefault="00120573" w:rsidP="00120573">
            <w:pPr>
              <w:pStyle w:val="8VPT"/>
            </w:pPr>
          </w:p>
        </w:tc>
      </w:tr>
      <w:tr w:rsidR="00120573" w14:paraId="48463ACC" w14:textId="77777777" w:rsidTr="001923A0">
        <w:tc>
          <w:tcPr>
            <w:tcW w:w="3152" w:type="dxa"/>
            <w:vAlign w:val="center"/>
          </w:tcPr>
          <w:p w14:paraId="2194C8E8" w14:textId="6DF64E68" w:rsidR="00120573" w:rsidRDefault="00120573" w:rsidP="00120573">
            <w:pPr>
              <w:pStyle w:val="6VlPT"/>
            </w:pPr>
            <w:r>
              <w:t>Korespondence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63EC2FCA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6F24B78" w14:textId="0BA08AAE" w:rsidR="00120573" w:rsidRDefault="00120573" w:rsidP="00120573">
            <w:pPr>
              <w:pStyle w:val="8VPT"/>
            </w:pPr>
            <w:r>
              <w:t>Korespondence týkající se plateb, včetně faktur a Potvrzení průběžných a závěrečných plateb bude probíhat emailem nebo písemně na adresy sdělené Správcem stavby, Objednatelem a Zhotovitelem.</w:t>
            </w:r>
          </w:p>
        </w:tc>
      </w:tr>
      <w:tr w:rsidR="00120573" w14:paraId="6C318AF7" w14:textId="77777777" w:rsidTr="001923A0">
        <w:tc>
          <w:tcPr>
            <w:tcW w:w="3152" w:type="dxa"/>
            <w:vAlign w:val="center"/>
          </w:tcPr>
          <w:p w14:paraId="67C2EB04" w14:textId="79ABF953" w:rsidR="00120573" w:rsidRDefault="00120573" w:rsidP="00120573">
            <w:pPr>
              <w:pStyle w:val="6VlPT"/>
            </w:pPr>
            <w:r>
              <w:t>Formát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3BBEF728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81C994B" w14:textId="5D1EB67C" w:rsidR="00120573" w:rsidRDefault="00120573" w:rsidP="00120573">
            <w:pPr>
              <w:pStyle w:val="8VPT"/>
            </w:pPr>
            <w:r>
              <w:t>Nedohodnou-li se Strany jinak, je Zhotovitel povinen Správci stavby předat Vyúčtování rovněž v elektronické podobě ve formátu XLS (soubor *.</w:t>
            </w:r>
            <w:proofErr w:type="spellStart"/>
            <w:r>
              <w:t>xls</w:t>
            </w:r>
            <w:proofErr w:type="spellEnd"/>
            <w:r>
              <w:t>).</w:t>
            </w:r>
          </w:p>
        </w:tc>
      </w:tr>
      <w:tr w:rsidR="00120573" w14:paraId="70241B3E" w14:textId="77777777" w:rsidTr="001923A0">
        <w:tc>
          <w:tcPr>
            <w:tcW w:w="3152" w:type="dxa"/>
            <w:vAlign w:val="center"/>
          </w:tcPr>
          <w:p w14:paraId="33FC5090" w14:textId="5B739B42" w:rsidR="00120573" w:rsidRDefault="00120573" w:rsidP="00120573">
            <w:pPr>
              <w:pStyle w:val="6VlPT"/>
            </w:pPr>
            <w:r>
              <w:t>Doba pro předložení vyúčtování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1AB832B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BD4072C" w14:textId="2B110D31" w:rsidR="00120573" w:rsidRDefault="00120573" w:rsidP="00120573">
            <w:pPr>
              <w:pStyle w:val="8VPT"/>
            </w:pPr>
            <w:r>
              <w:t>Zhotovitel je povinen předat Vyúčtování Správci stavby vždy nejpozději do 15 dne kalendářního měsíce následujícího po měsíci, za který se Vyúčtování předává.</w:t>
            </w:r>
          </w:p>
        </w:tc>
      </w:tr>
      <w:tr w:rsidR="00120573" w:rsidRPr="002474CB" w14:paraId="116BBD60" w14:textId="77777777" w:rsidTr="001923A0">
        <w:trPr>
          <w:trHeight w:val="978"/>
        </w:trPr>
        <w:tc>
          <w:tcPr>
            <w:tcW w:w="3152" w:type="dxa"/>
            <w:vAlign w:val="center"/>
          </w:tcPr>
          <w:p w14:paraId="0A71A340" w14:textId="6CC9B19C" w:rsidR="00120573" w:rsidRDefault="00120573" w:rsidP="00120573">
            <w:pPr>
              <w:pStyle w:val="6VlPT"/>
            </w:pPr>
            <w:r>
              <w:t>Vyúčtování neměřených položek</w:t>
            </w:r>
          </w:p>
        </w:tc>
        <w:tc>
          <w:tcPr>
            <w:tcW w:w="991" w:type="dxa"/>
            <w:tcBorders>
              <w:bottom w:val="single" w:sz="4" w:space="0" w:color="auto"/>
              <w:tl2br w:val="single" w:sz="4" w:space="0" w:color="auto"/>
            </w:tcBorders>
            <w:vAlign w:val="center"/>
          </w:tcPr>
          <w:p w14:paraId="44908BB1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84BDD0A" w14:textId="455F6B3A" w:rsidR="00120573" w:rsidRPr="002474CB" w:rsidRDefault="00120573" w:rsidP="00120573">
            <w:pPr>
              <w:pStyle w:val="8VPT"/>
            </w:pPr>
            <w:r w:rsidRPr="002474CB">
              <w:t xml:space="preserve">Nestanovuje se platba neměřených položek ve Vyúčtování. </w:t>
            </w:r>
          </w:p>
        </w:tc>
      </w:tr>
      <w:tr w:rsidR="00120573" w14:paraId="61A304C6" w14:textId="77777777" w:rsidTr="001923A0">
        <w:trPr>
          <w:trHeight w:val="978"/>
        </w:trPr>
        <w:tc>
          <w:tcPr>
            <w:tcW w:w="3152" w:type="dxa"/>
            <w:vAlign w:val="center"/>
          </w:tcPr>
          <w:p w14:paraId="7DDBAF29" w14:textId="77777777" w:rsidR="00120573" w:rsidRDefault="00120573" w:rsidP="00120573">
            <w:pPr>
              <w:pStyle w:val="6VlPT"/>
            </w:pPr>
            <w:r>
              <w:t>Žádost o potvrzení průběžné</w:t>
            </w:r>
          </w:p>
          <w:p w14:paraId="6FDBC3EF" w14:textId="77777777" w:rsidR="00120573" w:rsidRDefault="00120573" w:rsidP="00120573">
            <w:pPr>
              <w:pStyle w:val="6VlPT"/>
            </w:pPr>
            <w:r>
              <w:t>platby – odhadovaná smluvní</w:t>
            </w:r>
          </w:p>
          <w:p w14:paraId="0F7E67C1" w14:textId="5CF89465" w:rsidR="00120573" w:rsidRDefault="00120573" w:rsidP="00120573">
            <w:pPr>
              <w:pStyle w:val="6VlPT"/>
            </w:pPr>
            <w:r>
              <w:t>hodnota provedeného Díla</w:t>
            </w:r>
          </w:p>
        </w:tc>
        <w:tc>
          <w:tcPr>
            <w:tcW w:w="991" w:type="dxa"/>
            <w:tcBorders>
              <w:tl2br w:val="nil"/>
            </w:tcBorders>
            <w:vAlign w:val="center"/>
          </w:tcPr>
          <w:p w14:paraId="7F5F12AE" w14:textId="67F00E6A" w:rsidR="00120573" w:rsidRDefault="00120573" w:rsidP="00120573">
            <w:pPr>
              <w:pStyle w:val="7ST"/>
            </w:pPr>
            <w:r>
              <w:t>14.3 a)</w:t>
            </w:r>
          </w:p>
        </w:tc>
        <w:tc>
          <w:tcPr>
            <w:tcW w:w="5496" w:type="dxa"/>
            <w:vAlign w:val="center"/>
          </w:tcPr>
          <w:p w14:paraId="60036A9A" w14:textId="23F377A1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Položka s náz</w:t>
            </w:r>
            <w:r w:rsidR="00030AFC">
              <w:rPr>
                <w:rFonts w:ascii="Helvetica" w:hAnsi="Helvetica" w:cs="Helvetica"/>
                <w:sz w:val="20"/>
                <w:szCs w:val="20"/>
              </w:rPr>
              <w:t>v</w:t>
            </w:r>
            <w:r>
              <w:rPr>
                <w:rFonts w:ascii="Helvetica" w:hAnsi="Helvetica" w:cs="Helvetica"/>
                <w:sz w:val="20"/>
                <w:szCs w:val="20"/>
              </w:rPr>
              <w:t>em „</w:t>
            </w:r>
            <w:r w:rsidRPr="0030650B">
              <w:rPr>
                <w:rFonts w:ascii="Helvetica" w:hAnsi="Helvetica" w:cs="Helvetica"/>
                <w:sz w:val="20"/>
                <w:szCs w:val="20"/>
              </w:rPr>
              <w:t>Dočasné konstrukce a práce</w:t>
            </w:r>
            <w:r>
              <w:rPr>
                <w:rFonts w:ascii="Helvetica" w:hAnsi="Helvetica" w:cs="Helvetica"/>
                <w:sz w:val="20"/>
                <w:szCs w:val="20"/>
              </w:rPr>
              <w:t>“ (dále jen „Položka VF“), která se dle Technické</w:t>
            </w:r>
          </w:p>
          <w:p w14:paraId="7E1D806A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specifikace nem</w:t>
            </w:r>
            <w:r>
              <w:rPr>
                <w:rFonts w:ascii="Arial" w:hAnsi="Arial" w:cs="Arial"/>
                <w:sz w:val="20"/>
                <w:szCs w:val="20"/>
              </w:rPr>
              <w:t>ěř</w:t>
            </w:r>
            <w:r>
              <w:rPr>
                <w:rFonts w:ascii="Helvetica" w:hAnsi="Helvetica" w:cs="Helvetica"/>
                <w:sz w:val="20"/>
                <w:szCs w:val="20"/>
              </w:rPr>
              <w:t>í, bude do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 v rámci žádostí o potvrzení 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žné platby zahrnuta následovn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:</w:t>
            </w:r>
          </w:p>
          <w:p w14:paraId="4CD466FB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0B7F8A6C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1. po celou Dobu pro dokon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bude do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</w:t>
            </w:r>
          </w:p>
          <w:p w14:paraId="36EDFF8A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uvád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na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 ceny Položky VF dle níže</w:t>
            </w:r>
          </w:p>
          <w:p w14:paraId="637134B6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uvedených pravidel, a to až do jejího úplného</w:t>
            </w:r>
          </w:p>
          <w:p w14:paraId="09001352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zaplacení nebo do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edložení Záv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ného</w:t>
            </w:r>
          </w:p>
          <w:p w14:paraId="62F1E52A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 Správci stavby podle toho, která</w:t>
            </w:r>
          </w:p>
          <w:p w14:paraId="74F154D2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skute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nost nastane d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íve;</w:t>
            </w:r>
          </w:p>
          <w:p w14:paraId="694FF0F3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3ADB9370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2. v každém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tování bude uvedena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</w:t>
            </w:r>
          </w:p>
          <w:p w14:paraId="14B3FE84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ceny Položky VF dle tohoto vzorce:</w:t>
            </w:r>
          </w:p>
          <w:p w14:paraId="5837C4B9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</w:p>
          <w:p w14:paraId="6E82E4F1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204EC30B" wp14:editId="089D4ADA">
                  <wp:extent cx="3349256" cy="590550"/>
                  <wp:effectExtent l="0" t="0" r="381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51696" cy="590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E95D56E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CambriaMath" w:hAnsi="CambriaMath" w:cs="CambriaMath"/>
                <w:sz w:val="20"/>
                <w:szCs w:val="20"/>
              </w:rPr>
            </w:pPr>
          </w:p>
          <w:p w14:paraId="4529BBBF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3. ozna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„dny v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síci“ dle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edchozího odstavce</w:t>
            </w:r>
          </w:p>
          <w:p w14:paraId="6D145F9B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znamená celkový po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et dn</w:t>
            </w:r>
            <w:r>
              <w:rPr>
                <w:rFonts w:ascii="Arial" w:hAnsi="Arial" w:cs="Arial"/>
                <w:sz w:val="20"/>
                <w:szCs w:val="20"/>
              </w:rPr>
              <w:t xml:space="preserve">ů </w:t>
            </w:r>
            <w:r>
              <w:rPr>
                <w:rFonts w:ascii="Helvetica" w:hAnsi="Helvetica" w:cs="Helvetica"/>
                <w:sz w:val="20"/>
                <w:szCs w:val="20"/>
              </w:rPr>
              <w:t>v kalendá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ním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síci,</w:t>
            </w:r>
          </w:p>
          <w:p w14:paraId="41A4B99D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za který podává Zhotovitel žádost o potvrzení</w:t>
            </w:r>
          </w:p>
          <w:p w14:paraId="6771A30F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žné platby;</w:t>
            </w:r>
          </w:p>
          <w:p w14:paraId="0D896D4A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</w:p>
          <w:p w14:paraId="6C326681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4. dojde-li k prodloužení Doby pro dokon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ení v pr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b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hu</w:t>
            </w:r>
          </w:p>
          <w:p w14:paraId="64934CA9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provád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ní Díla, sníží se m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sí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 xml:space="preserve">ní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smluvní ceny</w:t>
            </w:r>
          </w:p>
          <w:p w14:paraId="01F0DB85" w14:textId="77777777" w:rsidR="00120573" w:rsidRDefault="00120573" w:rsidP="00120573">
            <w:pPr>
              <w:pStyle w:val="8VPT"/>
              <w:rPr>
                <w:rFonts w:ascii="Helvetica" w:hAnsi="Helvetica" w:cs="Helvetica"/>
              </w:rPr>
            </w:pPr>
            <w:r>
              <w:rPr>
                <w:rFonts w:ascii="Helvetica" w:hAnsi="Helvetica" w:cs="Helvetica"/>
              </w:rPr>
              <w:t>Položky VF automaticky na základ</w:t>
            </w:r>
            <w:r>
              <w:t xml:space="preserve">ě </w:t>
            </w:r>
            <w:r>
              <w:rPr>
                <w:rFonts w:ascii="Helvetica" w:hAnsi="Helvetica" w:cs="Helvetica"/>
              </w:rPr>
              <w:t>odst. 2 výše;</w:t>
            </w:r>
          </w:p>
          <w:p w14:paraId="102234EB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5. nedošlo-li k úplnému zaplacení smluvní ceny</w:t>
            </w:r>
          </w:p>
          <w:p w14:paraId="0B54C650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Položky VF postupem dle odst. 2 až 4 výše, bude její</w:t>
            </w:r>
          </w:p>
          <w:p w14:paraId="4E489240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 xml:space="preserve">zbývající 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ást uvedena v Záv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re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ném vyú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tování.</w:t>
            </w:r>
          </w:p>
          <w:p w14:paraId="511F7B03" w14:textId="77777777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Výše uvedené nemá vliv na právo Správce stavby</w:t>
            </w:r>
          </w:p>
          <w:p w14:paraId="3FBF1328" w14:textId="25EA2A1C" w:rsidR="00120573" w:rsidRDefault="00120573" w:rsidP="00120573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0"/>
                <w:szCs w:val="20"/>
              </w:rPr>
            </w:pPr>
            <w:r>
              <w:rPr>
                <w:rFonts w:ascii="Helvetica" w:hAnsi="Helvetica" w:cs="Helvetica"/>
                <w:sz w:val="20"/>
                <w:szCs w:val="20"/>
              </w:rPr>
              <w:t>postupovat v od</w:t>
            </w:r>
            <w:r>
              <w:rPr>
                <w:rFonts w:ascii="Arial" w:hAnsi="Arial" w:cs="Arial"/>
                <w:sz w:val="20"/>
                <w:szCs w:val="20"/>
              </w:rPr>
              <w:t>ů</w:t>
            </w:r>
            <w:r>
              <w:rPr>
                <w:rFonts w:ascii="Helvetica" w:hAnsi="Helvetica" w:cs="Helvetica"/>
                <w:sz w:val="20"/>
                <w:szCs w:val="20"/>
              </w:rPr>
              <w:t>vodn</w:t>
            </w:r>
            <w:r>
              <w:rPr>
                <w:rFonts w:ascii="Arial" w:hAnsi="Arial" w:cs="Arial"/>
                <w:sz w:val="20"/>
                <w:szCs w:val="20"/>
              </w:rPr>
              <w:t>ě</w:t>
            </w:r>
            <w:r>
              <w:rPr>
                <w:rFonts w:ascii="Helvetica" w:hAnsi="Helvetica" w:cs="Helvetica"/>
                <w:sz w:val="20"/>
                <w:szCs w:val="20"/>
              </w:rPr>
              <w:t>ných p</w:t>
            </w:r>
            <w:r>
              <w:rPr>
                <w:rFonts w:ascii="Arial" w:hAnsi="Arial" w:cs="Arial"/>
                <w:sz w:val="20"/>
                <w:szCs w:val="20"/>
              </w:rPr>
              <w:t>ř</w:t>
            </w:r>
            <w:r>
              <w:rPr>
                <w:rFonts w:ascii="Helvetica" w:hAnsi="Helvetica" w:cs="Helvetica"/>
                <w:sz w:val="20"/>
                <w:szCs w:val="20"/>
              </w:rPr>
              <w:t>ípadech v souladu s</w:t>
            </w:r>
            <w:r w:rsidR="00C93987">
              <w:rPr>
                <w:rFonts w:ascii="Helvetica" w:hAnsi="Helvetica" w:cs="Helvetica"/>
                <w:sz w:val="20"/>
                <w:szCs w:val="20"/>
              </w:rPr>
              <w:t> </w:t>
            </w:r>
            <w:r>
              <w:rPr>
                <w:rFonts w:ascii="Helvetica" w:hAnsi="Helvetica" w:cs="Helvetica"/>
                <w:sz w:val="20"/>
                <w:szCs w:val="20"/>
              </w:rPr>
              <w:t>Pod</w:t>
            </w:r>
            <w:r w:rsidR="00C93987">
              <w:rPr>
                <w:rFonts w:ascii="Helvetica" w:hAnsi="Helvetica" w:cs="Helvetica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č</w:t>
            </w:r>
            <w:r>
              <w:rPr>
                <w:rFonts w:ascii="Helvetica" w:hAnsi="Helvetica" w:cs="Helvetica"/>
                <w:sz w:val="20"/>
                <w:szCs w:val="20"/>
              </w:rPr>
              <w:t>lánkem</w:t>
            </w:r>
            <w:r w:rsidR="007A249F">
              <w:rPr>
                <w:rFonts w:ascii="Helvetica" w:hAnsi="Helvetica" w:cs="Helvetica"/>
                <w:sz w:val="20"/>
                <w:szCs w:val="20"/>
              </w:rPr>
              <w:t>.</w:t>
            </w:r>
          </w:p>
          <w:p w14:paraId="7D5C868F" w14:textId="77777777" w:rsidR="00120573" w:rsidRPr="00ED775B" w:rsidRDefault="00120573" w:rsidP="00120573">
            <w:pPr>
              <w:pStyle w:val="8VPT"/>
              <w:rPr>
                <w:highlight w:val="yellow"/>
              </w:rPr>
            </w:pPr>
          </w:p>
        </w:tc>
      </w:tr>
      <w:tr w:rsidR="00120573" w14:paraId="364A012D" w14:textId="77777777" w:rsidTr="001923A0">
        <w:tc>
          <w:tcPr>
            <w:tcW w:w="3152" w:type="dxa"/>
            <w:vAlign w:val="center"/>
          </w:tcPr>
          <w:p w14:paraId="7D695D2F" w14:textId="667B0A09" w:rsidR="00120573" w:rsidRPr="009432A4" w:rsidRDefault="00120573" w:rsidP="00120573">
            <w:pPr>
              <w:pStyle w:val="5VlT"/>
            </w:pPr>
            <w:r>
              <w:lastRenderedPageBreak/>
              <w:t>Technologické zařízení a materiály určené pro dílo</w:t>
            </w:r>
          </w:p>
        </w:tc>
        <w:tc>
          <w:tcPr>
            <w:tcW w:w="991" w:type="dxa"/>
            <w:vAlign w:val="center"/>
          </w:tcPr>
          <w:p w14:paraId="4E28D061" w14:textId="193CEBE4" w:rsidR="00120573" w:rsidRDefault="00120573" w:rsidP="00120573">
            <w:pPr>
              <w:pStyle w:val="7ST"/>
            </w:pPr>
            <w:r>
              <w:t>14.5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0ECF0045" w14:textId="601FDDFC" w:rsidR="00120573" w:rsidRDefault="00120573" w:rsidP="00120573">
            <w:pPr>
              <w:pStyle w:val="8VPT"/>
            </w:pPr>
            <w:r>
              <w:t>Příloha k nabídce neobsahuje předmětné seznamy.</w:t>
            </w:r>
          </w:p>
        </w:tc>
      </w:tr>
      <w:tr w:rsidR="00120573" w14:paraId="091C806D" w14:textId="77777777" w:rsidTr="001923A0">
        <w:tc>
          <w:tcPr>
            <w:tcW w:w="3152" w:type="dxa"/>
            <w:vAlign w:val="center"/>
          </w:tcPr>
          <w:p w14:paraId="1F5BAE0E" w14:textId="787E4AE9" w:rsidR="00120573" w:rsidRPr="009432A4" w:rsidRDefault="00120573" w:rsidP="00120573">
            <w:pPr>
              <w:pStyle w:val="5VlT"/>
            </w:pPr>
            <w:r>
              <w:t>Vydání potvrzení průběžné platby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1B312063" w14:textId="200CC86E" w:rsidR="00120573" w:rsidRDefault="00120573" w:rsidP="00120573">
            <w:pPr>
              <w:pStyle w:val="7ST"/>
            </w:pPr>
            <w:r>
              <w:t>14.6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46B42C83" w14:textId="5157A116" w:rsidR="00120573" w:rsidRDefault="00120573" w:rsidP="00120573">
            <w:pPr>
              <w:pStyle w:val="8VPT"/>
            </w:pPr>
          </w:p>
        </w:tc>
      </w:tr>
      <w:tr w:rsidR="00120573" w14:paraId="083F2424" w14:textId="77777777" w:rsidTr="001923A0">
        <w:tc>
          <w:tcPr>
            <w:tcW w:w="3152" w:type="dxa"/>
            <w:vAlign w:val="center"/>
          </w:tcPr>
          <w:p w14:paraId="5668E1E6" w14:textId="24062A38" w:rsidR="00120573" w:rsidRDefault="00120573" w:rsidP="00120573">
            <w:pPr>
              <w:pStyle w:val="6VlPT"/>
            </w:pPr>
            <w:r>
              <w:t>Minimální částka Potvrzení průběžné platby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10AF1F8E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95A4CC0" w14:textId="05C504F3" w:rsidR="00120573" w:rsidRDefault="00120573" w:rsidP="00120573">
            <w:pPr>
              <w:pStyle w:val="8VPT"/>
            </w:pPr>
            <w:r>
              <w:t>Minimální částka Potvrzení průběžné platby se nestanovuje.</w:t>
            </w:r>
          </w:p>
        </w:tc>
      </w:tr>
      <w:tr w:rsidR="00120573" w14:paraId="3ED93CDD" w14:textId="77777777" w:rsidTr="001923A0">
        <w:tc>
          <w:tcPr>
            <w:tcW w:w="3152" w:type="dxa"/>
            <w:vAlign w:val="center"/>
          </w:tcPr>
          <w:p w14:paraId="18A6637B" w14:textId="3455E534" w:rsidR="00120573" w:rsidRDefault="00120573" w:rsidP="00120573">
            <w:pPr>
              <w:pStyle w:val="6VlPT"/>
            </w:pPr>
            <w:r>
              <w:t>Maximální výše zadržitelné částky na opravu nebo výměny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42433615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77E99A6" w14:textId="29CBAD53" w:rsidR="00120573" w:rsidRDefault="00120573" w:rsidP="00120573">
            <w:pPr>
              <w:pStyle w:val="8VPT"/>
            </w:pPr>
            <w:r>
              <w:t>Maximální výše zadržitelné částky na náklady na opravu nebo výměnu činí 10 % z Přijaté smluvní částky.</w:t>
            </w:r>
          </w:p>
        </w:tc>
      </w:tr>
      <w:tr w:rsidR="00120573" w14:paraId="09153376" w14:textId="77777777" w:rsidTr="001923A0">
        <w:tc>
          <w:tcPr>
            <w:tcW w:w="3152" w:type="dxa"/>
            <w:vAlign w:val="center"/>
          </w:tcPr>
          <w:p w14:paraId="12D0DAF2" w14:textId="381ABB3B" w:rsidR="00120573" w:rsidRDefault="00120573" w:rsidP="00120573">
            <w:pPr>
              <w:pStyle w:val="6VlPT"/>
            </w:pPr>
            <w:r>
              <w:t>Výše zadržené částky pro stanovená porušení Smlouvy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16C3D78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607F2758" w14:textId="409A06E9" w:rsidR="00120573" w:rsidRDefault="00120573" w:rsidP="00120573">
            <w:pPr>
              <w:pStyle w:val="8VPT"/>
            </w:pPr>
            <w:r>
              <w:t>Objednatel je oprávněn zadržet až 50 % z kterékoliv Průběžné platby, a to i opakovaně.</w:t>
            </w:r>
          </w:p>
        </w:tc>
      </w:tr>
      <w:tr w:rsidR="00120573" w14:paraId="42E3C6EA" w14:textId="77777777" w:rsidTr="001923A0">
        <w:tc>
          <w:tcPr>
            <w:tcW w:w="3152" w:type="dxa"/>
            <w:vAlign w:val="center"/>
          </w:tcPr>
          <w:p w14:paraId="7C9209C1" w14:textId="6969D23E" w:rsidR="00120573" w:rsidRDefault="00120573" w:rsidP="00120573">
            <w:pPr>
              <w:pStyle w:val="6VlPT"/>
            </w:pPr>
            <w:r>
              <w:t>Maximální výše zadržitelných částek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098D19B8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5204AD7" w14:textId="353E78E2" w:rsidR="00120573" w:rsidRDefault="00120573" w:rsidP="00120573">
            <w:pPr>
              <w:pStyle w:val="8VPT"/>
            </w:pPr>
            <w:r>
              <w:t>Maximální výše zadržitelných částek je stanovena ve výše 30 % z Přijaté smluvní částky.</w:t>
            </w:r>
          </w:p>
        </w:tc>
      </w:tr>
      <w:tr w:rsidR="00120573" w14:paraId="269D5E67" w14:textId="77777777" w:rsidTr="001923A0">
        <w:tc>
          <w:tcPr>
            <w:tcW w:w="3152" w:type="dxa"/>
            <w:vAlign w:val="center"/>
          </w:tcPr>
          <w:p w14:paraId="2771BF6D" w14:textId="4736BF06" w:rsidR="00120573" w:rsidRDefault="00120573" w:rsidP="00120573">
            <w:pPr>
              <w:pStyle w:val="5VlT"/>
            </w:pPr>
            <w:r>
              <w:t>Žádost o potvrzení závěrečné platby</w:t>
            </w:r>
          </w:p>
        </w:tc>
        <w:tc>
          <w:tcPr>
            <w:tcW w:w="991" w:type="dxa"/>
            <w:vAlign w:val="center"/>
          </w:tcPr>
          <w:p w14:paraId="51C98A7E" w14:textId="7E3B624A" w:rsidR="00120573" w:rsidRDefault="00120573" w:rsidP="00120573">
            <w:pPr>
              <w:pStyle w:val="7ST"/>
            </w:pPr>
            <w:r>
              <w:t>14.11</w:t>
            </w:r>
          </w:p>
        </w:tc>
        <w:tc>
          <w:tcPr>
            <w:tcW w:w="5496" w:type="dxa"/>
            <w:vAlign w:val="center"/>
          </w:tcPr>
          <w:p w14:paraId="3BD2F212" w14:textId="44E52241" w:rsidR="00120573" w:rsidRDefault="00120573" w:rsidP="00120573">
            <w:pPr>
              <w:pStyle w:val="8VPT"/>
            </w:pPr>
            <w:r>
              <w:t>Nedohodnou-li se Strany jinak, je Zhotovitel povinen Správci stavby předat Závěrečné vyúčtování rovněž v elektronické podobě ve formátu XLS (soubor *.</w:t>
            </w:r>
            <w:proofErr w:type="spellStart"/>
            <w:r>
              <w:t>xls</w:t>
            </w:r>
            <w:proofErr w:type="spellEnd"/>
            <w:r>
              <w:t>).</w:t>
            </w:r>
          </w:p>
        </w:tc>
      </w:tr>
      <w:tr w:rsidR="00120573" w14:paraId="6679FA33" w14:textId="77777777" w:rsidTr="001923A0">
        <w:tc>
          <w:tcPr>
            <w:tcW w:w="3152" w:type="dxa"/>
            <w:vAlign w:val="center"/>
          </w:tcPr>
          <w:p w14:paraId="14C405C9" w14:textId="03201F4F" w:rsidR="00120573" w:rsidRPr="009432A4" w:rsidRDefault="00120573" w:rsidP="00120573">
            <w:pPr>
              <w:pStyle w:val="6VlPT"/>
            </w:pPr>
            <w:r>
              <w:t>Prodlení s udržováním v platnosti bankovní záruky</w:t>
            </w:r>
          </w:p>
        </w:tc>
        <w:tc>
          <w:tcPr>
            <w:tcW w:w="991" w:type="dxa"/>
            <w:vAlign w:val="center"/>
          </w:tcPr>
          <w:p w14:paraId="3F1EAA9D" w14:textId="7B606872" w:rsidR="00120573" w:rsidRDefault="00120573" w:rsidP="00120573">
            <w:pPr>
              <w:pStyle w:val="7ST"/>
            </w:pPr>
            <w:r>
              <w:t>(a)</w:t>
            </w:r>
          </w:p>
        </w:tc>
        <w:tc>
          <w:tcPr>
            <w:tcW w:w="5496" w:type="dxa"/>
            <w:vAlign w:val="center"/>
          </w:tcPr>
          <w:p w14:paraId="16842487" w14:textId="74CC9996" w:rsidR="00120573" w:rsidRDefault="00120573" w:rsidP="0012057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120573" w14:paraId="79AF2196" w14:textId="77777777" w:rsidTr="001923A0">
        <w:tc>
          <w:tcPr>
            <w:tcW w:w="3152" w:type="dxa"/>
            <w:vAlign w:val="center"/>
          </w:tcPr>
          <w:p w14:paraId="0C5C3E11" w14:textId="69EE708B" w:rsidR="00120573" w:rsidRPr="009432A4" w:rsidRDefault="00120573" w:rsidP="00120573">
            <w:pPr>
              <w:pStyle w:val="6VlPT"/>
            </w:pPr>
            <w:r>
              <w:t>Přes pokyn Správce stavby ke zjednání nápravy neplnění povinností podle Pod-článku 6.7</w:t>
            </w:r>
          </w:p>
        </w:tc>
        <w:tc>
          <w:tcPr>
            <w:tcW w:w="991" w:type="dxa"/>
            <w:vAlign w:val="center"/>
          </w:tcPr>
          <w:p w14:paraId="49C5C74D" w14:textId="3C93E975" w:rsidR="00120573" w:rsidRDefault="00120573" w:rsidP="00120573">
            <w:pPr>
              <w:pStyle w:val="7ST"/>
            </w:pPr>
            <w:r>
              <w:t>(b)</w:t>
            </w:r>
          </w:p>
        </w:tc>
        <w:tc>
          <w:tcPr>
            <w:tcW w:w="5496" w:type="dxa"/>
            <w:vAlign w:val="center"/>
          </w:tcPr>
          <w:p w14:paraId="437BA67F" w14:textId="682D0D4B" w:rsidR="00120573" w:rsidRDefault="00120573" w:rsidP="0012057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120573" w14:paraId="3E7F833F" w14:textId="77777777" w:rsidTr="001923A0">
        <w:tc>
          <w:tcPr>
            <w:tcW w:w="3152" w:type="dxa"/>
            <w:vAlign w:val="center"/>
          </w:tcPr>
          <w:p w14:paraId="44D09C35" w14:textId="1960D9A4" w:rsidR="00120573" w:rsidRPr="009432A4" w:rsidRDefault="00120573" w:rsidP="00120573">
            <w:pPr>
              <w:pStyle w:val="6VlPT"/>
            </w:pPr>
            <w:r>
              <w:t>Na základě pokynu Správce stavby ve stanoveném termínu nepředložení aktualizovaného Harmonogramu podle Pod-článku 8.3</w:t>
            </w:r>
          </w:p>
        </w:tc>
        <w:tc>
          <w:tcPr>
            <w:tcW w:w="991" w:type="dxa"/>
            <w:vAlign w:val="center"/>
          </w:tcPr>
          <w:p w14:paraId="12057140" w14:textId="5770F394" w:rsidR="00120573" w:rsidRDefault="00120573" w:rsidP="00120573">
            <w:pPr>
              <w:pStyle w:val="7ST"/>
            </w:pPr>
            <w:r>
              <w:t>(c)</w:t>
            </w:r>
          </w:p>
        </w:tc>
        <w:tc>
          <w:tcPr>
            <w:tcW w:w="5496" w:type="dxa"/>
            <w:vAlign w:val="center"/>
          </w:tcPr>
          <w:p w14:paraId="75D66F7A" w14:textId="2363F58D" w:rsidR="00120573" w:rsidRDefault="00120573" w:rsidP="0012057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120573" w14:paraId="0FA42E78" w14:textId="77777777" w:rsidTr="001923A0">
        <w:tc>
          <w:tcPr>
            <w:tcW w:w="3152" w:type="dxa"/>
            <w:vAlign w:val="center"/>
          </w:tcPr>
          <w:p w14:paraId="6190EDBE" w14:textId="5074A5D4" w:rsidR="00120573" w:rsidRPr="009432A4" w:rsidRDefault="00120573" w:rsidP="00120573">
            <w:pPr>
              <w:pStyle w:val="6VlPT"/>
            </w:pPr>
            <w:r>
              <w:t>Nepředložení nebo neudržování v platnosti pojistné smlouvy podle Pod-článku 18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0FFD81BF" w14:textId="233D6C21" w:rsidR="00120573" w:rsidRDefault="00120573" w:rsidP="00120573">
            <w:pPr>
              <w:pStyle w:val="7ST"/>
            </w:pPr>
            <w:r>
              <w:t>(d)</w:t>
            </w:r>
          </w:p>
        </w:tc>
        <w:tc>
          <w:tcPr>
            <w:tcW w:w="5496" w:type="dxa"/>
            <w:vAlign w:val="center"/>
          </w:tcPr>
          <w:p w14:paraId="0B672933" w14:textId="4CCFED00" w:rsidR="00120573" w:rsidRDefault="00120573" w:rsidP="00120573">
            <w:pPr>
              <w:pStyle w:val="8VPT"/>
            </w:pPr>
            <w:r>
              <w:t>Zadržená částka může být ve výši maximálně 30 % z Průběžné platby.</w:t>
            </w:r>
          </w:p>
        </w:tc>
      </w:tr>
      <w:tr w:rsidR="00120573" w14:paraId="18DB7269" w14:textId="77777777" w:rsidTr="001923A0">
        <w:tc>
          <w:tcPr>
            <w:tcW w:w="3152" w:type="dxa"/>
            <w:vAlign w:val="center"/>
          </w:tcPr>
          <w:p w14:paraId="2CB24DEE" w14:textId="5B9CA6F6" w:rsidR="00120573" w:rsidRPr="00153E07" w:rsidRDefault="00120573" w:rsidP="00120573">
            <w:pPr>
              <w:pStyle w:val="6VlPT"/>
            </w:pPr>
            <w:r>
              <w:t>Maximální částka zadržených plateb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4F647715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C392F61" w14:textId="3D6EAF28" w:rsidR="00120573" w:rsidRDefault="00120573" w:rsidP="00120573">
            <w:pPr>
              <w:pStyle w:val="8VPT"/>
            </w:pPr>
            <w:r>
              <w:t>Maximální částka zadržených plateb může činit 30 % z přijaté smluvní částky.</w:t>
            </w:r>
          </w:p>
        </w:tc>
      </w:tr>
      <w:tr w:rsidR="00120573" w14:paraId="7D60EFD0" w14:textId="77777777" w:rsidTr="001923A0">
        <w:tc>
          <w:tcPr>
            <w:tcW w:w="3152" w:type="dxa"/>
            <w:vAlign w:val="center"/>
          </w:tcPr>
          <w:p w14:paraId="1FB887F3" w14:textId="5858DE65" w:rsidR="00120573" w:rsidRPr="009432A4" w:rsidRDefault="00120573" w:rsidP="00120573">
            <w:pPr>
              <w:pStyle w:val="5VlT"/>
            </w:pPr>
            <w:r>
              <w:lastRenderedPageBreak/>
              <w:t>Platba</w:t>
            </w:r>
          </w:p>
        </w:tc>
        <w:tc>
          <w:tcPr>
            <w:tcW w:w="991" w:type="dxa"/>
            <w:vAlign w:val="center"/>
          </w:tcPr>
          <w:p w14:paraId="0544271C" w14:textId="6458B5DC" w:rsidR="00120573" w:rsidRDefault="00120573" w:rsidP="00120573">
            <w:pPr>
              <w:pStyle w:val="7ST"/>
            </w:pPr>
            <w:r>
              <w:t>14.7</w:t>
            </w:r>
          </w:p>
        </w:tc>
        <w:tc>
          <w:tcPr>
            <w:tcW w:w="5496" w:type="dxa"/>
            <w:vAlign w:val="center"/>
          </w:tcPr>
          <w:p w14:paraId="229D08A2" w14:textId="1287A18E" w:rsidR="00120573" w:rsidRDefault="00120573" w:rsidP="00120573">
            <w:pPr>
              <w:pStyle w:val="8VPT"/>
            </w:pPr>
            <w:r>
              <w:t>Splatnost částek potvrzených v každém Potvrzení průběžné platby a v Potvrzení závěrečné platby činí 21 kalendářních dní.</w:t>
            </w:r>
          </w:p>
        </w:tc>
      </w:tr>
      <w:tr w:rsidR="00120573" w14:paraId="7E8CC644" w14:textId="77777777" w:rsidTr="001923A0">
        <w:tc>
          <w:tcPr>
            <w:tcW w:w="3152" w:type="dxa"/>
            <w:vAlign w:val="center"/>
          </w:tcPr>
          <w:p w14:paraId="51A1237A" w14:textId="540E5CDC" w:rsidR="00120573" w:rsidRPr="009432A4" w:rsidRDefault="00120573" w:rsidP="00120573">
            <w:pPr>
              <w:pStyle w:val="5VlT"/>
            </w:pPr>
            <w:r>
              <w:t>Měny plateb</w:t>
            </w:r>
          </w:p>
        </w:tc>
        <w:tc>
          <w:tcPr>
            <w:tcW w:w="991" w:type="dxa"/>
            <w:vAlign w:val="center"/>
          </w:tcPr>
          <w:p w14:paraId="2DDAD856" w14:textId="460D592F" w:rsidR="00120573" w:rsidRDefault="00120573" w:rsidP="00120573">
            <w:pPr>
              <w:pStyle w:val="7ST"/>
            </w:pPr>
            <w:r>
              <w:t>14.15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FAA2CFD" w14:textId="79571C30" w:rsidR="00120573" w:rsidRDefault="00120573" w:rsidP="00120573">
            <w:pPr>
              <w:pStyle w:val="8VPT"/>
            </w:pPr>
            <w:r>
              <w:t>Platby budou prováděny v Korunách českých.</w:t>
            </w:r>
          </w:p>
        </w:tc>
      </w:tr>
      <w:tr w:rsidR="00120573" w14:paraId="72DF107B" w14:textId="77777777" w:rsidTr="001923A0">
        <w:tc>
          <w:tcPr>
            <w:tcW w:w="3152" w:type="dxa"/>
            <w:vAlign w:val="center"/>
          </w:tcPr>
          <w:p w14:paraId="013DD322" w14:textId="51E89917" w:rsidR="00120573" w:rsidRDefault="00120573" w:rsidP="00120573">
            <w:pPr>
              <w:pStyle w:val="5VlT"/>
            </w:pPr>
            <w:proofErr w:type="spellStart"/>
            <w:r>
              <w:t>Výzisky</w:t>
            </w:r>
            <w:proofErr w:type="spellEnd"/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3BD96138" w14:textId="0F0E9D7B" w:rsidR="00120573" w:rsidRDefault="00120573" w:rsidP="00120573">
            <w:pPr>
              <w:pStyle w:val="7ST"/>
            </w:pPr>
            <w:r>
              <w:t>14.16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1D737F15" w14:textId="77777777" w:rsidR="00120573" w:rsidRDefault="00120573" w:rsidP="00120573">
            <w:pPr>
              <w:pStyle w:val="8VPT"/>
            </w:pPr>
          </w:p>
        </w:tc>
      </w:tr>
      <w:tr w:rsidR="00120573" w14:paraId="0CA0B82B" w14:textId="77777777" w:rsidTr="001923A0">
        <w:tc>
          <w:tcPr>
            <w:tcW w:w="3152" w:type="dxa"/>
            <w:vAlign w:val="center"/>
          </w:tcPr>
          <w:p w14:paraId="07F4A270" w14:textId="393F5A59" w:rsidR="00120573" w:rsidRDefault="00120573" w:rsidP="00120573">
            <w:pPr>
              <w:pStyle w:val="6VlPT"/>
            </w:pPr>
            <w:r>
              <w:t>Aplikace Pod-článku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4F085A0F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7394A2E1" w14:textId="77777777" w:rsidR="00120573" w:rsidRDefault="00120573" w:rsidP="00120573">
            <w:pPr>
              <w:pStyle w:val="8VPT"/>
            </w:pPr>
            <w:r w:rsidRPr="007C4D42">
              <w:t>Použije se.</w:t>
            </w:r>
          </w:p>
          <w:p w14:paraId="0E73D435" w14:textId="696A7730" w:rsidR="00120573" w:rsidRDefault="00120573" w:rsidP="00120573">
            <w:pPr>
              <w:pStyle w:val="8VPT"/>
            </w:pPr>
            <w:r>
              <w:t>Podrobně popsáno v Technické specifikaci</w:t>
            </w:r>
          </w:p>
        </w:tc>
      </w:tr>
      <w:tr w:rsidR="00120573" w14:paraId="63DF360D" w14:textId="77777777" w:rsidTr="001923A0">
        <w:tc>
          <w:tcPr>
            <w:tcW w:w="3152" w:type="dxa"/>
            <w:vAlign w:val="center"/>
          </w:tcPr>
          <w:p w14:paraId="73F45298" w14:textId="744B0E81" w:rsidR="00120573" w:rsidRPr="00527FB1" w:rsidRDefault="00120573" w:rsidP="00120573">
            <w:pPr>
              <w:pStyle w:val="6VlPT"/>
            </w:pPr>
            <w:r w:rsidRPr="007C4D42">
              <w:t>Specifikace vyzískaného materiálu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F118C53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F4136C6" w14:textId="2946401D" w:rsidR="00120573" w:rsidRPr="001F2D40" w:rsidRDefault="00120573" w:rsidP="00120573">
            <w:pPr>
              <w:pStyle w:val="8VPT"/>
              <w:rPr>
                <w:highlight w:val="yellow"/>
              </w:rPr>
            </w:pPr>
            <w:r w:rsidRPr="00542B49">
              <w:t xml:space="preserve">Vyzískaným materiálem se rozumí </w:t>
            </w:r>
            <w:r>
              <w:t>kovový odpad definovaný položkou č. 59 v rámci SO 01 - Jez</w:t>
            </w:r>
            <w:r w:rsidRPr="00480B27">
              <w:t>.</w:t>
            </w:r>
          </w:p>
        </w:tc>
      </w:tr>
      <w:tr w:rsidR="00120573" w14:paraId="18C69D0B" w14:textId="77777777" w:rsidTr="001923A0">
        <w:tc>
          <w:tcPr>
            <w:tcW w:w="3152" w:type="dxa"/>
            <w:vAlign w:val="center"/>
          </w:tcPr>
          <w:p w14:paraId="14BD66ED" w14:textId="74894A28" w:rsidR="00120573" w:rsidRPr="00527FB1" w:rsidRDefault="00120573" w:rsidP="00120573">
            <w:pPr>
              <w:pStyle w:val="6VlPT"/>
            </w:pPr>
            <w:r w:rsidRPr="007C4D42">
              <w:t>Způsob naložení s vyzískaným materiálem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41223F94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9EDF46B" w14:textId="02992547" w:rsidR="00120573" w:rsidRPr="00542B49" w:rsidRDefault="00120573" w:rsidP="00120573">
            <w:pPr>
              <w:pStyle w:val="8VPT"/>
            </w:pPr>
            <w:r>
              <w:t>Zhotovitel odkoupí od Objednatele za jednotkovou cenu uvedenou ve Smlouvě o dílo</w:t>
            </w:r>
          </w:p>
        </w:tc>
      </w:tr>
      <w:tr w:rsidR="00120573" w14:paraId="7D6D98B6" w14:textId="77777777" w:rsidTr="001923A0">
        <w:tc>
          <w:tcPr>
            <w:tcW w:w="3152" w:type="dxa"/>
            <w:vAlign w:val="center"/>
          </w:tcPr>
          <w:p w14:paraId="4B173CE5" w14:textId="1A36D601" w:rsidR="00120573" w:rsidRPr="007C4D42" w:rsidRDefault="00120573" w:rsidP="00120573">
            <w:pPr>
              <w:pStyle w:val="6VlPT"/>
            </w:pPr>
            <w:r w:rsidRPr="007C4D42">
              <w:t>Vlastnictvím vyzískaného materiálu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5587F289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5B704756" w14:textId="7A0E8B88" w:rsidR="00120573" w:rsidRDefault="00120573" w:rsidP="00120573">
            <w:pPr>
              <w:pStyle w:val="8VPT"/>
              <w:rPr>
                <w:highlight w:val="yellow"/>
              </w:rPr>
            </w:pPr>
            <w:r w:rsidRPr="00FF560E">
              <w:t>Vyzískaný materiál zůstává až do doby zaplacení Přijaté částky za odkup vyzískaného materiálu ve vlastnictví Objednatele.</w:t>
            </w:r>
            <w:r>
              <w:rPr>
                <w:highlight w:val="yellow"/>
              </w:rPr>
              <w:t xml:space="preserve"> </w:t>
            </w:r>
          </w:p>
        </w:tc>
      </w:tr>
      <w:tr w:rsidR="00120573" w14:paraId="53B7A0F2" w14:textId="77777777" w:rsidTr="001923A0">
        <w:tc>
          <w:tcPr>
            <w:tcW w:w="3152" w:type="dxa"/>
            <w:vAlign w:val="center"/>
          </w:tcPr>
          <w:p w14:paraId="28D372A4" w14:textId="553F2C31" w:rsidR="00120573" w:rsidRPr="00F95392" w:rsidRDefault="00120573" w:rsidP="00120573">
            <w:pPr>
              <w:pStyle w:val="5VlT"/>
            </w:pPr>
            <w:r>
              <w:t>Rizika objednatele</w:t>
            </w:r>
          </w:p>
        </w:tc>
        <w:tc>
          <w:tcPr>
            <w:tcW w:w="991" w:type="dxa"/>
            <w:vAlign w:val="center"/>
          </w:tcPr>
          <w:p w14:paraId="52E1D086" w14:textId="5C35812A" w:rsidR="00120573" w:rsidRDefault="00120573" w:rsidP="00120573">
            <w:pPr>
              <w:pStyle w:val="7ST"/>
            </w:pPr>
            <w:r>
              <w:t>17.3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C098171" w14:textId="550F390A" w:rsidR="00120573" w:rsidRDefault="00120573" w:rsidP="00120573">
            <w:pPr>
              <w:pStyle w:val="8VPT"/>
            </w:pPr>
            <w:r>
              <w:t xml:space="preserve">Za rizika spojená s vodou se </w:t>
            </w:r>
            <w:r w:rsidRPr="007C17D4">
              <w:t xml:space="preserve">rozumí </w:t>
            </w:r>
            <w:r w:rsidRPr="00110F3B">
              <w:t>potopa znemožňující provádění Díla a zátopa Staveniště</w:t>
            </w:r>
            <w:r>
              <w:t xml:space="preserve"> s výjimkou stanovenou</w:t>
            </w:r>
            <w:r w:rsidRPr="007C17D4">
              <w:t xml:space="preserve"> Technick</w:t>
            </w:r>
            <w:r>
              <w:t>ou specifikací v bodě 5. Požadavky na výkon a funkci.</w:t>
            </w:r>
          </w:p>
        </w:tc>
      </w:tr>
      <w:tr w:rsidR="00120573" w14:paraId="340B0E31" w14:textId="77777777" w:rsidTr="001923A0">
        <w:tc>
          <w:tcPr>
            <w:tcW w:w="3152" w:type="dxa"/>
            <w:vAlign w:val="center"/>
          </w:tcPr>
          <w:p w14:paraId="0C993343" w14:textId="1DC6F87A" w:rsidR="00120573" w:rsidRPr="00F95392" w:rsidRDefault="00120573" w:rsidP="00120573">
            <w:pPr>
              <w:pStyle w:val="5VlT"/>
            </w:pPr>
            <w:r>
              <w:t>Obecné požadavky na pojištění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6C5044AA" w14:textId="11582696" w:rsidR="00120573" w:rsidRDefault="00120573" w:rsidP="00120573">
            <w:pPr>
              <w:pStyle w:val="7ST"/>
            </w:pPr>
            <w:r>
              <w:t>18.1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5E6717DB" w14:textId="77777777" w:rsidR="00120573" w:rsidRDefault="00120573" w:rsidP="00120573">
            <w:pPr>
              <w:pStyle w:val="8VPT"/>
            </w:pPr>
          </w:p>
        </w:tc>
      </w:tr>
      <w:tr w:rsidR="00120573" w14:paraId="082ED58F" w14:textId="77777777" w:rsidTr="001923A0">
        <w:tc>
          <w:tcPr>
            <w:tcW w:w="3152" w:type="dxa"/>
            <w:vAlign w:val="center"/>
          </w:tcPr>
          <w:p w14:paraId="354625A3" w14:textId="4ED8660F" w:rsidR="00120573" w:rsidRDefault="00120573" w:rsidP="00120573">
            <w:pPr>
              <w:pStyle w:val="6VlPT"/>
            </w:pPr>
            <w:r>
              <w:t>Doba platnosti pojištění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5F1EBDBF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6238EE" w14:textId="6BD69586" w:rsidR="00120573" w:rsidRDefault="00120573" w:rsidP="00120573">
            <w:pPr>
              <w:pStyle w:val="8VPT"/>
            </w:pPr>
            <w:r>
              <w:t>Nestanovuje se jinak a Zhotovitel je tak povinen udržovat všechna pojištění v platnosti po celou Dobu pro dokončení.</w:t>
            </w:r>
          </w:p>
        </w:tc>
      </w:tr>
      <w:tr w:rsidR="00120573" w14:paraId="20E38ABB" w14:textId="77777777" w:rsidTr="001923A0">
        <w:tc>
          <w:tcPr>
            <w:tcW w:w="3152" w:type="dxa"/>
            <w:vAlign w:val="center"/>
          </w:tcPr>
          <w:p w14:paraId="1A5FD011" w14:textId="1B0E816B" w:rsidR="00120573" w:rsidRDefault="00120573" w:rsidP="00120573">
            <w:pPr>
              <w:pStyle w:val="6VlPT"/>
            </w:pPr>
            <w:r>
              <w:t>Celkový limit pojistného plnění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68BDCDC7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548C2E92" w14:textId="043DF072" w:rsidR="00120573" w:rsidRDefault="00120573" w:rsidP="00120573">
            <w:pPr>
              <w:pStyle w:val="8VPT"/>
            </w:pPr>
            <w:r w:rsidRPr="00E0003D">
              <w:t>Nestanovuje se jinak a celkový limit pojistného plnění pro jednotlivá pojištění a spoluúčast se řídí tímto Pod-článkem.</w:t>
            </w:r>
          </w:p>
        </w:tc>
      </w:tr>
      <w:tr w:rsidR="00120573" w14:paraId="1C0306BF" w14:textId="77777777" w:rsidTr="001923A0">
        <w:tc>
          <w:tcPr>
            <w:tcW w:w="3152" w:type="dxa"/>
            <w:vAlign w:val="center"/>
          </w:tcPr>
          <w:p w14:paraId="19559551" w14:textId="6555FA00" w:rsidR="00120573" w:rsidRPr="00E4367B" w:rsidRDefault="00120573" w:rsidP="00120573">
            <w:pPr>
              <w:pStyle w:val="5VlT"/>
            </w:pPr>
            <w:r w:rsidRPr="00F95392">
              <w:t>Pojištění díla a vybavení zhotovitele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034DF0B6" w14:textId="2E64AC97" w:rsidR="00120573" w:rsidRDefault="00120573" w:rsidP="00120573">
            <w:pPr>
              <w:pStyle w:val="7ST"/>
            </w:pPr>
            <w:r>
              <w:t>18.2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60183701" w14:textId="34633DB8" w:rsidR="00120573" w:rsidRDefault="00120573" w:rsidP="00120573">
            <w:pPr>
              <w:pStyle w:val="8VPT"/>
            </w:pPr>
          </w:p>
        </w:tc>
      </w:tr>
      <w:tr w:rsidR="00120573" w14:paraId="21810174" w14:textId="77777777" w:rsidTr="001923A0">
        <w:tc>
          <w:tcPr>
            <w:tcW w:w="3152" w:type="dxa"/>
            <w:vAlign w:val="center"/>
          </w:tcPr>
          <w:p w14:paraId="4E56F924" w14:textId="1B5337C1" w:rsidR="00120573" w:rsidRPr="00F95392" w:rsidRDefault="00120573" w:rsidP="00120573">
            <w:pPr>
              <w:pStyle w:val="6VlPT"/>
            </w:pPr>
            <w:r>
              <w:t>Výše pojistné</w:t>
            </w:r>
            <w:r w:rsidR="0036516B">
              <w:t xml:space="preserve"> částky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79A0C1A0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3B3301D" w14:textId="15CD2483" w:rsidR="00120573" w:rsidRDefault="00120573" w:rsidP="00120573">
            <w:pPr>
              <w:pStyle w:val="8VPT"/>
            </w:pPr>
            <w:r>
              <w:t>Pojistn</w:t>
            </w:r>
            <w:r w:rsidR="002E3C1A">
              <w:t>á</w:t>
            </w:r>
            <w:r>
              <w:t xml:space="preserve"> </w:t>
            </w:r>
            <w:r w:rsidR="002E3C1A">
              <w:t>částka</w:t>
            </w:r>
            <w:r>
              <w:t xml:space="preserve"> se stanoví ve výši minimálně Přijaté smluvní částky, a to v návaznosti na aktuální rozsah provedeného Díla.</w:t>
            </w:r>
          </w:p>
          <w:p w14:paraId="1A67A29A" w14:textId="77777777" w:rsidR="00120573" w:rsidRDefault="00120573" w:rsidP="00120573">
            <w:pPr>
              <w:pStyle w:val="8VPT"/>
            </w:pPr>
            <w:r>
              <w:t>Odchylně od ostatních se pro pojistné nebezpečí „povodeň, záplava“ v rámci pojištění „</w:t>
            </w:r>
            <w:proofErr w:type="spellStart"/>
            <w:r>
              <w:t>all</w:t>
            </w:r>
            <w:proofErr w:type="spellEnd"/>
            <w:r>
              <w:t xml:space="preserve"> risk“ stanovuje tento minimální rozsah pojištění.</w:t>
            </w:r>
          </w:p>
          <w:p w14:paraId="7EA2CDC5" w14:textId="77777777" w:rsidR="00120573" w:rsidRDefault="00120573" w:rsidP="00120573">
            <w:pPr>
              <w:pStyle w:val="8VPT"/>
            </w:pPr>
            <w:r>
              <w:t>Pojištěním musí být kryty všechny škody způsobené povodní Q20 a vyšší.</w:t>
            </w:r>
          </w:p>
          <w:p w14:paraId="077075B6" w14:textId="79FE8144" w:rsidR="00120573" w:rsidRDefault="00120573" w:rsidP="00120573">
            <w:pPr>
              <w:pStyle w:val="8VPT"/>
            </w:pPr>
            <w:r>
              <w:t xml:space="preserve">Limit </w:t>
            </w:r>
            <w:r w:rsidR="003B6EC0">
              <w:t>pojistné částky</w:t>
            </w:r>
            <w:r>
              <w:t xml:space="preserve"> pro jednu a všechny události nastalé v jednom pojistném období </w:t>
            </w:r>
            <w:r w:rsidR="003B6EC0">
              <w:t xml:space="preserve">je min. </w:t>
            </w:r>
            <w:r>
              <w:t>15 mil. Kč.</w:t>
            </w:r>
          </w:p>
          <w:p w14:paraId="27311861" w14:textId="59A324CB" w:rsidR="00120573" w:rsidRDefault="00120573" w:rsidP="00120573">
            <w:pPr>
              <w:pStyle w:val="8VPT"/>
            </w:pPr>
            <w:r>
              <w:t>Maximální spoluúčast 10 % min. 1 mil. Kč.</w:t>
            </w:r>
          </w:p>
        </w:tc>
      </w:tr>
      <w:tr w:rsidR="00120573" w14:paraId="1D4B0FF5" w14:textId="77777777" w:rsidTr="001923A0">
        <w:tc>
          <w:tcPr>
            <w:tcW w:w="3152" w:type="dxa"/>
            <w:vAlign w:val="center"/>
          </w:tcPr>
          <w:p w14:paraId="079FCB9C" w14:textId="52BA2FDB" w:rsidR="00120573" w:rsidRDefault="00120573" w:rsidP="00120573">
            <w:pPr>
              <w:pStyle w:val="6VlPT"/>
            </w:pPr>
            <w:r>
              <w:t>Pojištění rizik projektanta a rizika výrobce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1852CAC2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B3938F6" w14:textId="78434247" w:rsidR="00120573" w:rsidRPr="003569A2" w:rsidRDefault="00120573" w:rsidP="00120573">
            <w:pPr>
              <w:pStyle w:val="8VPT"/>
            </w:pPr>
            <w:r w:rsidRPr="003569A2">
              <w:t xml:space="preserve">Minimální částka pojistného krytí je stanovena ve výši </w:t>
            </w:r>
            <w:r w:rsidRPr="007C4D42">
              <w:t>10</w:t>
            </w:r>
            <w:r>
              <w:t> </w:t>
            </w:r>
            <w:r w:rsidRPr="003569A2">
              <w:t>mil. Kč.</w:t>
            </w:r>
          </w:p>
        </w:tc>
      </w:tr>
      <w:tr w:rsidR="00120573" w14:paraId="5085B5F5" w14:textId="77777777" w:rsidTr="001923A0">
        <w:tc>
          <w:tcPr>
            <w:tcW w:w="3152" w:type="dxa"/>
            <w:vAlign w:val="center"/>
          </w:tcPr>
          <w:p w14:paraId="67B1AA27" w14:textId="4898FCE5" w:rsidR="00120573" w:rsidRDefault="00120573" w:rsidP="00120573">
            <w:pPr>
              <w:pStyle w:val="6VlPT"/>
            </w:pPr>
            <w:r>
              <w:t>Pojištění okolního majetku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25D98E62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263814E1" w14:textId="345334BB" w:rsidR="00120573" w:rsidRPr="003569A2" w:rsidRDefault="00120573" w:rsidP="00120573">
            <w:pPr>
              <w:pStyle w:val="8VPT"/>
            </w:pPr>
            <w:r w:rsidRPr="003569A2">
              <w:t xml:space="preserve">Minimální částka pojistného krytí je stanovena ve výši </w:t>
            </w:r>
            <w:r w:rsidRPr="007C4D42">
              <w:t>100</w:t>
            </w:r>
            <w:r>
              <w:t> </w:t>
            </w:r>
            <w:r w:rsidRPr="003569A2">
              <w:t>mil. Kč.</w:t>
            </w:r>
          </w:p>
        </w:tc>
      </w:tr>
      <w:tr w:rsidR="00120573" w14:paraId="3544A15F" w14:textId="77777777" w:rsidTr="001923A0">
        <w:tc>
          <w:tcPr>
            <w:tcW w:w="3152" w:type="dxa"/>
            <w:vAlign w:val="center"/>
          </w:tcPr>
          <w:p w14:paraId="7FEF8466" w14:textId="74165BD8" w:rsidR="00120573" w:rsidRPr="00E4367B" w:rsidRDefault="00120573" w:rsidP="00120573">
            <w:pPr>
              <w:pStyle w:val="5VlT"/>
            </w:pPr>
            <w:r w:rsidRPr="00F95392">
              <w:lastRenderedPageBreak/>
              <w:t>Pojištění pro případ úrazu osob a škod na majetku</w:t>
            </w:r>
          </w:p>
        </w:tc>
        <w:tc>
          <w:tcPr>
            <w:tcW w:w="991" w:type="dxa"/>
            <w:vAlign w:val="center"/>
          </w:tcPr>
          <w:p w14:paraId="22B72B93" w14:textId="18CE5818" w:rsidR="00120573" w:rsidRDefault="00120573" w:rsidP="00120573">
            <w:pPr>
              <w:pStyle w:val="7ST"/>
            </w:pPr>
            <w:r>
              <w:t>18.3</w:t>
            </w:r>
          </w:p>
        </w:tc>
        <w:tc>
          <w:tcPr>
            <w:tcW w:w="5496" w:type="dxa"/>
            <w:tcBorders>
              <w:bottom w:val="single" w:sz="4" w:space="0" w:color="auto"/>
            </w:tcBorders>
            <w:vAlign w:val="center"/>
          </w:tcPr>
          <w:p w14:paraId="3C3D8CAF" w14:textId="75E98A68" w:rsidR="00120573" w:rsidRDefault="00120573" w:rsidP="00120573">
            <w:pPr>
              <w:pStyle w:val="8VPT"/>
            </w:pPr>
            <w:r w:rsidRPr="00FC3CBD">
              <w:t>P</w:t>
            </w:r>
            <w:r>
              <w:t>ředmětné p</w:t>
            </w:r>
            <w:r w:rsidRPr="00FC3CBD">
              <w:t xml:space="preserve">ojištění musí být sjednáno tak, aby zahrnovalo </w:t>
            </w:r>
            <w:r w:rsidRPr="00926DD2">
              <w:t>odpovědnost Zhotovitele a všech jeho Pod</w:t>
            </w:r>
            <w:r>
              <w:t>zhotovitelů</w:t>
            </w:r>
            <w:r w:rsidRPr="00926DD2">
              <w:t xml:space="preserve"> </w:t>
            </w:r>
            <w:r>
              <w:t xml:space="preserve">zejména </w:t>
            </w:r>
            <w:r w:rsidRPr="00926DD2">
              <w:t>za</w:t>
            </w:r>
            <w:r>
              <w:t>:</w:t>
            </w:r>
          </w:p>
          <w:p w14:paraId="09982C3A" w14:textId="5A2DAB7F" w:rsidR="00120573" w:rsidRDefault="00120573" w:rsidP="0012057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zdraví a majetku zaměstnanců a zástupců Objednatele a</w:t>
            </w:r>
          </w:p>
          <w:p w14:paraId="680F7D3E" w14:textId="49893816" w:rsidR="00120573" w:rsidRDefault="00120573" w:rsidP="00120573">
            <w:pPr>
              <w:pStyle w:val="8VPT"/>
              <w:numPr>
                <w:ilvl w:val="0"/>
                <w:numId w:val="4"/>
              </w:numPr>
              <w:spacing w:before="0" w:after="0"/>
              <w:ind w:left="312" w:hanging="312"/>
            </w:pPr>
            <w:r>
              <w:t>újmu na majetku Objednatele a případných třetích osob.</w:t>
            </w:r>
          </w:p>
        </w:tc>
      </w:tr>
      <w:tr w:rsidR="00120573" w14:paraId="41044A66" w14:textId="77777777" w:rsidTr="001923A0">
        <w:tc>
          <w:tcPr>
            <w:tcW w:w="3152" w:type="dxa"/>
            <w:vAlign w:val="center"/>
          </w:tcPr>
          <w:p w14:paraId="039B0D3B" w14:textId="2DE561D2" w:rsidR="00120573" w:rsidRPr="009432A4" w:rsidRDefault="00120573" w:rsidP="00120573">
            <w:pPr>
              <w:pStyle w:val="5VlT"/>
            </w:pPr>
            <w:r>
              <w:t>Rozhodování sporů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vAlign w:val="center"/>
          </w:tcPr>
          <w:p w14:paraId="6E573A04" w14:textId="30A4CC97" w:rsidR="00120573" w:rsidRDefault="00120573" w:rsidP="00120573">
            <w:pPr>
              <w:pStyle w:val="7ST"/>
            </w:pPr>
            <w:r>
              <w:t>20</w:t>
            </w:r>
          </w:p>
        </w:tc>
        <w:tc>
          <w:tcPr>
            <w:tcW w:w="5496" w:type="dxa"/>
            <w:tcBorders>
              <w:tl2br w:val="single" w:sz="4" w:space="0" w:color="auto"/>
            </w:tcBorders>
            <w:vAlign w:val="center"/>
          </w:tcPr>
          <w:p w14:paraId="2359A464" w14:textId="3813B8D5" w:rsidR="00120573" w:rsidRDefault="00120573" w:rsidP="00120573">
            <w:pPr>
              <w:pStyle w:val="8VPT"/>
            </w:pPr>
          </w:p>
        </w:tc>
      </w:tr>
      <w:tr w:rsidR="00120573" w14:paraId="07ADE741" w14:textId="77777777" w:rsidTr="001923A0">
        <w:tc>
          <w:tcPr>
            <w:tcW w:w="3152" w:type="dxa"/>
            <w:vAlign w:val="center"/>
          </w:tcPr>
          <w:p w14:paraId="45E2825D" w14:textId="091D894A" w:rsidR="00120573" w:rsidRDefault="00120573" w:rsidP="00120573">
            <w:pPr>
              <w:pStyle w:val="6VlPT"/>
            </w:pPr>
            <w:r>
              <w:t>Metodika rozhodování sporů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1DB0026E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0459E4DF" w14:textId="173D5E6E" w:rsidR="00120573" w:rsidRDefault="00120573" w:rsidP="00120573">
            <w:pPr>
              <w:pStyle w:val="8VPT"/>
            </w:pPr>
            <w:r>
              <w:t>Metodika k rozhodování sporů nebyla zatím SFDI vydána. Bude-li vydána v průběhu provádění Díla, zavazují se strany postupovat podle takové Metodiky bez zbytečného odkladu po tom, co se o jejím vydání dozvěděli; o datu této skutečnosti provede Správce stavby zápis do Stavebního deníku.</w:t>
            </w:r>
          </w:p>
        </w:tc>
      </w:tr>
      <w:tr w:rsidR="00120573" w14:paraId="715A5231" w14:textId="77777777" w:rsidTr="001923A0">
        <w:tc>
          <w:tcPr>
            <w:tcW w:w="3152" w:type="dxa"/>
            <w:vAlign w:val="center"/>
          </w:tcPr>
          <w:p w14:paraId="45C96066" w14:textId="46A9DDF9" w:rsidR="00120573" w:rsidRDefault="00120573" w:rsidP="00120573">
            <w:pPr>
              <w:pStyle w:val="6VlPT"/>
            </w:pPr>
            <w:r>
              <w:t>Způsob rozhodování sporů</w:t>
            </w:r>
          </w:p>
        </w:tc>
        <w:tc>
          <w:tcPr>
            <w:tcW w:w="991" w:type="dxa"/>
            <w:tcBorders>
              <w:tl2br w:val="single" w:sz="4" w:space="0" w:color="auto"/>
            </w:tcBorders>
            <w:vAlign w:val="center"/>
          </w:tcPr>
          <w:p w14:paraId="59840AC3" w14:textId="77777777" w:rsidR="00120573" w:rsidRDefault="00120573" w:rsidP="00120573">
            <w:pPr>
              <w:pStyle w:val="7ST"/>
            </w:pPr>
          </w:p>
        </w:tc>
        <w:tc>
          <w:tcPr>
            <w:tcW w:w="5496" w:type="dxa"/>
            <w:vAlign w:val="center"/>
          </w:tcPr>
          <w:p w14:paraId="399DAF49" w14:textId="67A68FF4" w:rsidR="00120573" w:rsidRDefault="00120573" w:rsidP="00120573">
            <w:pPr>
              <w:pStyle w:val="8VPT"/>
            </w:pPr>
            <w:r>
              <w:t>Způsob rozhodování sporů se řídí variantou B.</w:t>
            </w:r>
          </w:p>
        </w:tc>
      </w:tr>
    </w:tbl>
    <w:p w14:paraId="7D36EA5E" w14:textId="1D02C111" w:rsidR="003B6BFC" w:rsidRDefault="003B6BFC" w:rsidP="00754FF7">
      <w:pPr>
        <w:pStyle w:val="2Textzkladn"/>
      </w:pPr>
    </w:p>
    <w:p w14:paraId="0DB55D7B" w14:textId="77777777" w:rsidR="003B6BFC" w:rsidRDefault="003B6BFC">
      <w:pPr>
        <w:rPr>
          <w:rFonts w:ascii="Arial" w:hAnsi="Arial" w:cs="Arial"/>
          <w:sz w:val="20"/>
          <w:szCs w:val="20"/>
        </w:rPr>
      </w:pPr>
      <w:r>
        <w:br w:type="page"/>
      </w:r>
    </w:p>
    <w:p w14:paraId="01CFE2EC" w14:textId="54E715A2" w:rsidR="003B6BFC" w:rsidRPr="00A7297D" w:rsidRDefault="003B6BFC" w:rsidP="003B6BFC">
      <w:pPr>
        <w:pStyle w:val="Nzev"/>
        <w:spacing w:after="120"/>
      </w:pPr>
      <w:r>
        <w:lastRenderedPageBreak/>
        <w:t xml:space="preserve">Postup při </w:t>
      </w:r>
      <w:r w:rsidR="00C3392B">
        <w:rPr>
          <w:lang w:val="cs-CZ"/>
        </w:rPr>
        <w:t>V</w:t>
      </w:r>
      <w:proofErr w:type="spellStart"/>
      <w:r>
        <w:t>ariaci</w:t>
      </w:r>
      <w:proofErr w:type="spellEnd"/>
    </w:p>
    <w:p w14:paraId="1EA17F5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Tento dokument, jako součást Přílohy k nabídce, závazně doplňuje obecný postup Stran při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Variacích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tj. změnách Díla nařízených nebo schválených jako Variace podle Článku 13 Smluvních podmínek; v návaznosti na obecnou právní úpravu definovanou zákonem č. 134/2016 Sb., o zadávání veřejných zakázek, ve znění pozdějších předpisů a v návaznosti na vnitro-organizační předpisy Objednatele. </w:t>
      </w:r>
    </w:p>
    <w:p w14:paraId="34A033F5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Pro účely administrace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Variací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rozumí Změna, tj. jakákoli nutná změna Díla sjednaného na základě původního zadávacího řízení veřejné zakázky. Variací není měření skutečně provedeného množství plnění nebo Smluvní kompenzační nárok (</w:t>
      </w:r>
      <w:proofErr w:type="spellStart"/>
      <w:r w:rsidRPr="003B6BFC">
        <w:rPr>
          <w:rFonts w:ascii="Arial" w:eastAsia="Arial Unicode MS" w:hAnsi="Arial" w:cs="Arial"/>
          <w:kern w:val="1"/>
          <w:lang w:eastAsia="ar-SA"/>
        </w:rPr>
        <w:t>Claim</w:t>
      </w:r>
      <w:proofErr w:type="spellEnd"/>
      <w:r w:rsidRPr="003B6BFC">
        <w:rPr>
          <w:rFonts w:ascii="Arial" w:eastAsia="Arial Unicode MS" w:hAnsi="Arial" w:cs="Arial"/>
          <w:kern w:val="1"/>
          <w:lang w:eastAsia="ar-SA"/>
        </w:rPr>
        <w:t xml:space="preserve">). </w:t>
      </w:r>
    </w:p>
    <w:p w14:paraId="00F60CAF" w14:textId="77777777" w:rsidR="003B6BFC" w:rsidRP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V případě, že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zahrnuje změnu množství nebo kvality plnění, budou parametry změny závazku definovány ve Změnovém listu, potvrzeném (podepsaném) Stranami.</w:t>
      </w:r>
    </w:p>
    <w:p w14:paraId="7A513E68" w14:textId="77777777" w:rsidR="003B6BFC" w:rsidRDefault="003B6BFC" w:rsidP="003B6BF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>Pokud vznese Správce stavby na Zhotovitele požadavek na předložení návrhu variace s uvedením přiměřené lhůty, ve které má být návrh předložen, předloží Zhotovitel návrh variace Správci stavby ve formě Změnového listu včetně příloh a dalších dokladů nezbytných pro řádné zdůvodnění, popis, dokladování a ocenění Variace.</w:t>
      </w:r>
    </w:p>
    <w:p w14:paraId="73754AE7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Předložený návrh Správce stavby se Zhotovitelem projedná a výsledky jednání zaznamená do </w:t>
      </w:r>
      <w:r>
        <w:rPr>
          <w:rFonts w:ascii="Arial" w:eastAsia="Arial Unicode MS" w:hAnsi="Arial" w:cs="Arial"/>
          <w:kern w:val="1"/>
          <w:lang w:eastAsia="ar-SA"/>
        </w:rPr>
        <w:t>Změnového listu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, kterého se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týká.</w:t>
      </w:r>
    </w:p>
    <w:p w14:paraId="75C7685D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 w:rsidRPr="003B6BFC">
        <w:rPr>
          <w:rFonts w:ascii="Arial" w:eastAsia="Arial Unicode MS" w:hAnsi="Arial" w:cs="Arial"/>
          <w:kern w:val="1"/>
          <w:lang w:eastAsia="ar-SA"/>
        </w:rPr>
        <w:t xml:space="preserve">Správce stavby vydá Zhotoviteli pokyn k provedení </w:t>
      </w:r>
      <w:r w:rsidRPr="003B6BFC">
        <w:rPr>
          <w:rFonts w:ascii="Arial" w:eastAsia="Arial Unicode MS" w:hAnsi="Arial" w:cs="Arial"/>
          <w:i/>
          <w:kern w:val="1"/>
          <w:lang w:eastAsia="ar-SA"/>
        </w:rPr>
        <w:t>Variace</w:t>
      </w:r>
      <w:r>
        <w:rPr>
          <w:rFonts w:ascii="Arial" w:eastAsia="Arial Unicode MS" w:hAnsi="Arial" w:cs="Arial"/>
          <w:i/>
          <w:kern w:val="1"/>
          <w:lang w:eastAsia="ar-SA"/>
        </w:rPr>
        <w:t xml:space="preserve">. </w:t>
      </w:r>
      <w:r>
        <w:rPr>
          <w:rFonts w:ascii="Arial" w:eastAsia="Arial Unicode MS" w:hAnsi="Arial" w:cs="Arial"/>
          <w:iCs/>
          <w:kern w:val="1"/>
          <w:lang w:eastAsia="ar-SA"/>
        </w:rPr>
        <w:t>Takový pokyn může být v odůvodněných případech vydán i bez předchozího projednání Změnového listu.</w:t>
      </w:r>
      <w:r w:rsidRPr="003B6BFC">
        <w:rPr>
          <w:rFonts w:ascii="Arial" w:eastAsia="Arial Unicode MS" w:hAnsi="Arial" w:cs="Arial"/>
          <w:kern w:val="1"/>
          <w:lang w:eastAsia="ar-SA"/>
        </w:rPr>
        <w:t xml:space="preserve"> </w:t>
      </w:r>
    </w:p>
    <w:p w14:paraId="7DFBC014" w14:textId="77777777" w:rsidR="008C17BC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Ke každé Variaci musí být vyhotoven Změnový list, a to včetně Variace podle poslední věty předchozího bodu.</w:t>
      </w:r>
    </w:p>
    <w:p w14:paraId="10F35C91" w14:textId="4369D561" w:rsidR="004D3B57" w:rsidRPr="003B6BFC" w:rsidRDefault="008C17BC" w:rsidP="008C17BC">
      <w:pPr>
        <w:pStyle w:val="Odstavecseseznamem1"/>
        <w:numPr>
          <w:ilvl w:val="0"/>
          <w:numId w:val="9"/>
        </w:numPr>
        <w:spacing w:after="60" w:line="276" w:lineRule="auto"/>
        <w:ind w:left="425" w:hanging="425"/>
        <w:jc w:val="both"/>
        <w:rPr>
          <w:rFonts w:ascii="Arial" w:eastAsia="Arial Unicode MS" w:hAnsi="Arial" w:cs="Arial"/>
          <w:kern w:val="1"/>
          <w:lang w:eastAsia="ar-SA"/>
        </w:rPr>
      </w:pPr>
      <w:r w:rsidRPr="003B6BFC">
        <w:rPr>
          <w:rFonts w:ascii="Arial" w:hAnsi="Arial" w:cs="Arial"/>
        </w:rPr>
        <w:t>Do doby potvrzení (podpisu) Změnového listu (v případě změny dle Pod-článku 13.2 až po nabytí účinnosti Změnového listu) nemohou být práce obsažené v tomto Změnovém listu zahrnuty do Vyúčtování (fakturace). Pokud Vyúčtování (fakturace) bude takové práce obsahovat, nebude Správce stavby k Vyúčtování (fakturaci) přihlížet a Vyúčtování (fakturu) vrátí Zhotoviteli k</w:t>
      </w:r>
      <w:r w:rsidR="00A873F7">
        <w:rPr>
          <w:rFonts w:ascii="Arial" w:hAnsi="Arial" w:cs="Arial"/>
        </w:rPr>
        <w:t> </w:t>
      </w:r>
      <w:r w:rsidRPr="003B6BFC">
        <w:rPr>
          <w:rFonts w:ascii="Arial" w:hAnsi="Arial" w:cs="Arial"/>
        </w:rPr>
        <w:t>přepracování</w:t>
      </w:r>
      <w:r w:rsidR="00A873F7">
        <w:rPr>
          <w:rFonts w:ascii="Arial" w:hAnsi="Arial" w:cs="Arial"/>
        </w:rPr>
        <w:t>.</w:t>
      </w:r>
    </w:p>
    <w:sectPr w:rsidR="004D3B57" w:rsidRPr="003B6BFC" w:rsidSect="00754FF7">
      <w:headerReference w:type="default" r:id="rId13"/>
      <w:footerReference w:type="default" r:id="rId14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1BA42D" w14:textId="77777777" w:rsidR="00173600" w:rsidRDefault="00173600" w:rsidP="009432A4">
      <w:pPr>
        <w:spacing w:after="0" w:line="240" w:lineRule="auto"/>
      </w:pPr>
      <w:r>
        <w:separator/>
      </w:r>
    </w:p>
  </w:endnote>
  <w:endnote w:type="continuationSeparator" w:id="0">
    <w:p w14:paraId="05FD2573" w14:textId="77777777" w:rsidR="00173600" w:rsidRDefault="00173600" w:rsidP="009432A4">
      <w:pPr>
        <w:spacing w:after="0" w:line="240" w:lineRule="auto"/>
      </w:pPr>
      <w:r>
        <w:continuationSeparator/>
      </w:r>
    </w:p>
  </w:endnote>
  <w:endnote w:type="continuationNotice" w:id="1">
    <w:p w14:paraId="1AF63E9B" w14:textId="77777777" w:rsidR="00173600" w:rsidRDefault="0017360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ambriaMath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40991244"/>
      <w:docPartObj>
        <w:docPartGallery w:val="Page Numbers (Bottom of Page)"/>
        <w:docPartUnique/>
      </w:docPartObj>
    </w:sdtPr>
    <w:sdtContent>
      <w:p w14:paraId="206DB174" w14:textId="33AC1ADA" w:rsidR="00882E25" w:rsidRDefault="00882E25">
        <w:pPr>
          <w:pStyle w:val="Zpat"/>
          <w:jc w:val="center"/>
        </w:pPr>
        <w:r w:rsidRPr="00882E25">
          <w:rPr>
            <w:rStyle w:val="91ZhlavzpatChar"/>
          </w:rPr>
          <w:fldChar w:fldCharType="begin"/>
        </w:r>
        <w:r w:rsidRPr="00882E25">
          <w:rPr>
            <w:rStyle w:val="91ZhlavzpatChar"/>
          </w:rPr>
          <w:instrText>PAGE   \* MERGEFORMAT</w:instrText>
        </w:r>
        <w:r w:rsidRPr="00882E25">
          <w:rPr>
            <w:rStyle w:val="91ZhlavzpatChar"/>
          </w:rPr>
          <w:fldChar w:fldCharType="separate"/>
        </w:r>
        <w:r w:rsidR="009324DC">
          <w:rPr>
            <w:rStyle w:val="91ZhlavzpatChar"/>
            <w:noProof/>
          </w:rPr>
          <w:t>10</w:t>
        </w:r>
        <w:r w:rsidRPr="00882E25">
          <w:rPr>
            <w:rStyle w:val="91ZhlavzpatChar"/>
          </w:rPr>
          <w:fldChar w:fldCharType="end"/>
        </w:r>
      </w:p>
    </w:sdtContent>
  </w:sdt>
  <w:p w14:paraId="12FDCA68" w14:textId="77777777" w:rsidR="00882E25" w:rsidRDefault="00882E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87323" w14:textId="77777777" w:rsidR="00173600" w:rsidRDefault="00173600" w:rsidP="009432A4">
      <w:pPr>
        <w:spacing w:after="0" w:line="240" w:lineRule="auto"/>
      </w:pPr>
      <w:r>
        <w:separator/>
      </w:r>
    </w:p>
  </w:footnote>
  <w:footnote w:type="continuationSeparator" w:id="0">
    <w:p w14:paraId="50E5D7EB" w14:textId="77777777" w:rsidR="00173600" w:rsidRDefault="00173600" w:rsidP="009432A4">
      <w:pPr>
        <w:spacing w:after="0" w:line="240" w:lineRule="auto"/>
      </w:pPr>
      <w:r>
        <w:continuationSeparator/>
      </w:r>
    </w:p>
  </w:footnote>
  <w:footnote w:type="continuationNotice" w:id="1">
    <w:p w14:paraId="3A1F925A" w14:textId="77777777" w:rsidR="00173600" w:rsidRDefault="00173600">
      <w:pPr>
        <w:spacing w:after="0" w:line="240" w:lineRule="auto"/>
      </w:pPr>
    </w:p>
  </w:footnote>
  <w:footnote w:id="2">
    <w:p w14:paraId="55389373" w14:textId="77777777" w:rsidR="00754FF7" w:rsidRPr="00754FF7" w:rsidRDefault="00754FF7">
      <w:pPr>
        <w:pStyle w:val="Textpoznpodarou"/>
        <w:rPr>
          <w:rFonts w:ascii="Arial" w:hAnsi="Arial" w:cs="Arial"/>
          <w:sz w:val="18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754FF7">
        <w:rPr>
          <w:rStyle w:val="91ZhlavzpatChar"/>
        </w:rPr>
        <w:t>Názvem se rozumí název odpovídajícího Článku/Pod-článku/pod-odstavce Obecných podmínek ve znění Zvláštních podmínek nebo název odpovídající položky</w:t>
      </w:r>
      <w:r>
        <w:rPr>
          <w:rStyle w:val="91ZhlavzpatChar"/>
        </w:rPr>
        <w:t>.</w:t>
      </w:r>
    </w:p>
  </w:footnote>
  <w:footnote w:id="3">
    <w:p w14:paraId="767D8B26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Číslem se rozumí číslo odpovídajícího Článku/Pod-článku/pod-odstavce Obecných podmínek ve znění Zvláštních podmínek.</w:t>
      </w:r>
    </w:p>
  </w:footnote>
  <w:footnote w:id="4">
    <w:p w14:paraId="495031FB" w14:textId="77777777" w:rsidR="00754FF7" w:rsidRDefault="00754FF7" w:rsidP="00754FF7">
      <w:pPr>
        <w:pStyle w:val="91Zhlavzpat"/>
      </w:pPr>
      <w:r>
        <w:rPr>
          <w:rStyle w:val="Znakapoznpodarou"/>
        </w:rPr>
        <w:footnoteRef/>
      </w:r>
      <w:r>
        <w:t xml:space="preserve"> Údaji se rozumí konkretizace Obecných podmínek ve znění Zvláštních podmínek. Pokud je uveden odkaz na Článek/Pod-článek/pod-odstavce, rozumí se tím vždy odpovídající Článek/Pod-článek/pod-odstavec </w:t>
      </w:r>
      <w:r w:rsidRPr="00CC6DA1">
        <w:t>Obecných podmínek ve znění Zvláštních podmínek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58E9A" w14:textId="5BA53855" w:rsidR="009432A4" w:rsidRPr="009432A4" w:rsidRDefault="004D10A5">
    <w:pPr>
      <w:pStyle w:val="Zhlav"/>
      <w:rPr>
        <w:rFonts w:ascii="Arial" w:hAnsi="Arial" w:cs="Arial"/>
        <w:sz w:val="18"/>
        <w:szCs w:val="16"/>
      </w:rPr>
    </w:pPr>
    <w:r>
      <w:rPr>
        <w:rStyle w:val="91ZhlavzpatChar"/>
      </w:rPr>
      <w:t>Otava ř. km 19,2 – rekonstrukce jezu Vrcovice</w:t>
    </w:r>
    <w:r w:rsidR="002060DD" w:rsidDel="002060DD">
      <w:rPr>
        <w:rStyle w:val="91ZhlavzpatChar"/>
      </w:rPr>
      <w:t xml:space="preserve"> </w:t>
    </w:r>
    <w:r w:rsidR="009432A4">
      <w:rPr>
        <w:rFonts w:ascii="Arial" w:hAnsi="Arial" w:cs="Arial"/>
        <w:sz w:val="18"/>
        <w:szCs w:val="16"/>
      </w:rPr>
      <w:tab/>
    </w:r>
    <w:r w:rsidR="002060DD">
      <w:rPr>
        <w:rFonts w:ascii="Arial" w:hAnsi="Arial" w:cs="Arial"/>
        <w:sz w:val="18"/>
        <w:szCs w:val="16"/>
      </w:rPr>
      <w:tab/>
    </w:r>
    <w:r w:rsidR="009432A4">
      <w:rPr>
        <w:rFonts w:ascii="Arial" w:hAnsi="Arial" w:cs="Arial"/>
        <w:sz w:val="18"/>
        <w:szCs w:val="16"/>
      </w:rPr>
      <w:t>Příloha k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7049AB"/>
    <w:multiLevelType w:val="hybridMultilevel"/>
    <w:tmpl w:val="BA3888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2648C"/>
    <w:multiLevelType w:val="hybridMultilevel"/>
    <w:tmpl w:val="11ECDE6C"/>
    <w:lvl w:ilvl="0" w:tplc="0405000F">
      <w:start w:val="1"/>
      <w:numFmt w:val="decimal"/>
      <w:lvlText w:val="%1."/>
      <w:lvlJc w:val="left"/>
      <w:pPr>
        <w:ind w:left="851" w:hanging="491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D13ACD"/>
    <w:multiLevelType w:val="multilevel"/>
    <w:tmpl w:val="07B88A5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46173B0"/>
    <w:multiLevelType w:val="hybridMultilevel"/>
    <w:tmpl w:val="F24011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780D03"/>
    <w:multiLevelType w:val="multilevel"/>
    <w:tmpl w:val="B8F663C6"/>
    <w:lvl w:ilvl="0">
      <w:start w:val="1"/>
      <w:numFmt w:val="decimal"/>
      <w:pStyle w:val="PpVOdst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pStyle w:val="PpVPsm"/>
      <w:lvlText w:val="%2)"/>
      <w:lvlJc w:val="left"/>
      <w:pPr>
        <w:ind w:left="284" w:firstLine="0"/>
      </w:pPr>
      <w:rPr>
        <w:rFonts w:hint="default"/>
      </w:rPr>
    </w:lvl>
    <w:lvl w:ilvl="2">
      <w:start w:val="1"/>
      <w:numFmt w:val="none"/>
      <w:lvlRestart w:val="1"/>
      <w:lvlText w:val="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236477F2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52A1B"/>
    <w:multiLevelType w:val="multilevel"/>
    <w:tmpl w:val="C3EA6762"/>
    <w:lvl w:ilvl="0">
      <w:start w:val="1"/>
      <w:numFmt w:val="decimal"/>
      <w:pStyle w:val="SoD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none"/>
      <w:pStyle w:val="SoDOdst"/>
      <w:suff w:val="nothing"/>
      <w:lvlText w:val=""/>
      <w:lvlJc w:val="left"/>
      <w:pPr>
        <w:ind w:left="284" w:firstLine="0"/>
      </w:pPr>
      <w:rPr>
        <w:rFonts w:hint="default"/>
      </w:rPr>
    </w:lvl>
    <w:lvl w:ilvl="2">
      <w:start w:val="1"/>
      <w:numFmt w:val="lowerLetter"/>
      <w:lvlRestart w:val="1"/>
      <w:pStyle w:val="SoDPsm"/>
      <w:lvlText w:val="%3)"/>
      <w:lvlJc w:val="left"/>
      <w:pPr>
        <w:ind w:left="567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4DEA4DFC"/>
    <w:multiLevelType w:val="hybridMultilevel"/>
    <w:tmpl w:val="CF766D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3321E"/>
    <w:multiLevelType w:val="hybridMultilevel"/>
    <w:tmpl w:val="AE42B3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7040A3"/>
    <w:multiLevelType w:val="hybridMultilevel"/>
    <w:tmpl w:val="D032C872"/>
    <w:lvl w:ilvl="0" w:tplc="0405000F">
      <w:start w:val="1"/>
      <w:numFmt w:val="decimal"/>
      <w:lvlText w:val="%1."/>
      <w:lvlJc w:val="left"/>
      <w:pPr>
        <w:ind w:left="1038" w:hanging="360"/>
      </w:pPr>
    </w:lvl>
    <w:lvl w:ilvl="1" w:tplc="04050019" w:tentative="1">
      <w:start w:val="1"/>
      <w:numFmt w:val="lowerLetter"/>
      <w:lvlText w:val="%2."/>
      <w:lvlJc w:val="left"/>
      <w:pPr>
        <w:ind w:left="1758" w:hanging="360"/>
      </w:pPr>
    </w:lvl>
    <w:lvl w:ilvl="2" w:tplc="0405001B" w:tentative="1">
      <w:start w:val="1"/>
      <w:numFmt w:val="lowerRoman"/>
      <w:lvlText w:val="%3."/>
      <w:lvlJc w:val="right"/>
      <w:pPr>
        <w:ind w:left="2478" w:hanging="180"/>
      </w:pPr>
    </w:lvl>
    <w:lvl w:ilvl="3" w:tplc="0405000F" w:tentative="1">
      <w:start w:val="1"/>
      <w:numFmt w:val="decimal"/>
      <w:lvlText w:val="%4."/>
      <w:lvlJc w:val="left"/>
      <w:pPr>
        <w:ind w:left="3198" w:hanging="360"/>
      </w:pPr>
    </w:lvl>
    <w:lvl w:ilvl="4" w:tplc="04050019" w:tentative="1">
      <w:start w:val="1"/>
      <w:numFmt w:val="lowerLetter"/>
      <w:lvlText w:val="%5."/>
      <w:lvlJc w:val="left"/>
      <w:pPr>
        <w:ind w:left="3918" w:hanging="360"/>
      </w:pPr>
    </w:lvl>
    <w:lvl w:ilvl="5" w:tplc="0405001B" w:tentative="1">
      <w:start w:val="1"/>
      <w:numFmt w:val="lowerRoman"/>
      <w:lvlText w:val="%6."/>
      <w:lvlJc w:val="right"/>
      <w:pPr>
        <w:ind w:left="4638" w:hanging="180"/>
      </w:pPr>
    </w:lvl>
    <w:lvl w:ilvl="6" w:tplc="0405000F" w:tentative="1">
      <w:start w:val="1"/>
      <w:numFmt w:val="decimal"/>
      <w:lvlText w:val="%7."/>
      <w:lvlJc w:val="left"/>
      <w:pPr>
        <w:ind w:left="5358" w:hanging="360"/>
      </w:pPr>
    </w:lvl>
    <w:lvl w:ilvl="7" w:tplc="04050019" w:tentative="1">
      <w:start w:val="1"/>
      <w:numFmt w:val="lowerLetter"/>
      <w:lvlText w:val="%8."/>
      <w:lvlJc w:val="left"/>
      <w:pPr>
        <w:ind w:left="6078" w:hanging="360"/>
      </w:pPr>
    </w:lvl>
    <w:lvl w:ilvl="8" w:tplc="0405001B" w:tentative="1">
      <w:start w:val="1"/>
      <w:numFmt w:val="lowerRoman"/>
      <w:lvlText w:val="%9."/>
      <w:lvlJc w:val="right"/>
      <w:pPr>
        <w:ind w:left="6798" w:hanging="180"/>
      </w:pPr>
    </w:lvl>
  </w:abstractNum>
  <w:abstractNum w:abstractNumId="10" w15:restartNumberingAfterBreak="0">
    <w:nsid w:val="6FA142DB"/>
    <w:multiLevelType w:val="hybridMultilevel"/>
    <w:tmpl w:val="413607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C9260C"/>
    <w:multiLevelType w:val="multilevel"/>
    <w:tmpl w:val="AD52992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7A3FC8"/>
    <w:multiLevelType w:val="hybridMultilevel"/>
    <w:tmpl w:val="A8A40EC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6303237">
    <w:abstractNumId w:val="9"/>
  </w:num>
  <w:num w:numId="2" w16cid:durableId="257444603">
    <w:abstractNumId w:val="8"/>
  </w:num>
  <w:num w:numId="3" w16cid:durableId="1492259043">
    <w:abstractNumId w:val="10"/>
  </w:num>
  <w:num w:numId="4" w16cid:durableId="2016108081">
    <w:abstractNumId w:val="3"/>
  </w:num>
  <w:num w:numId="5" w16cid:durableId="1057360429">
    <w:abstractNumId w:val="5"/>
  </w:num>
  <w:num w:numId="6" w16cid:durableId="1108357882">
    <w:abstractNumId w:val="12"/>
  </w:num>
  <w:num w:numId="7" w16cid:durableId="1974602658">
    <w:abstractNumId w:val="0"/>
  </w:num>
  <w:num w:numId="8" w16cid:durableId="1959950109">
    <w:abstractNumId w:val="4"/>
    <w:lvlOverride w:ilvl="0">
      <w:lvl w:ilvl="0">
        <w:start w:val="1"/>
        <w:numFmt w:val="decimal"/>
        <w:pStyle w:val="PpVOdst"/>
        <w:lvlText w:val="%1."/>
        <w:lvlJc w:val="left"/>
        <w:pPr>
          <w:ind w:left="284" w:hanging="284"/>
        </w:pPr>
        <w:rPr>
          <w:rFonts w:hint="default"/>
        </w:rPr>
      </w:lvl>
    </w:lvlOverride>
    <w:lvlOverride w:ilvl="1">
      <w:lvl w:ilvl="1">
        <w:start w:val="1"/>
        <w:numFmt w:val="lowerLetter"/>
        <w:pStyle w:val="PpVPsm"/>
        <w:lvlText w:val="%2)"/>
        <w:lvlJc w:val="left"/>
        <w:pPr>
          <w:ind w:left="567" w:hanging="283"/>
        </w:pPr>
        <w:rPr>
          <w:rFonts w:hint="default"/>
        </w:rPr>
      </w:lvl>
    </w:lvlOverride>
    <w:lvlOverride w:ilvl="2">
      <w:lvl w:ilvl="2">
        <w:start w:val="1"/>
        <w:numFmt w:val="none"/>
        <w:lvlRestart w:val="1"/>
        <w:lvlText w:val=""/>
        <w:lvlJc w:val="left"/>
        <w:pPr>
          <w:ind w:left="567" w:hanging="283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9" w16cid:durableId="766268904">
    <w:abstractNumId w:val="1"/>
  </w:num>
  <w:num w:numId="10" w16cid:durableId="556165901">
    <w:abstractNumId w:val="6"/>
  </w:num>
  <w:num w:numId="11" w16cid:durableId="43136080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3635536">
    <w:abstractNumId w:val="2"/>
  </w:num>
  <w:num w:numId="13" w16cid:durableId="425999870">
    <w:abstractNumId w:val="11"/>
  </w:num>
  <w:num w:numId="14" w16cid:durableId="20569245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2A4"/>
    <w:rsid w:val="0000060C"/>
    <w:rsid w:val="000030D4"/>
    <w:rsid w:val="00003F02"/>
    <w:rsid w:val="00007185"/>
    <w:rsid w:val="000072AF"/>
    <w:rsid w:val="0001082B"/>
    <w:rsid w:val="000160FB"/>
    <w:rsid w:val="00017B99"/>
    <w:rsid w:val="000219F4"/>
    <w:rsid w:val="00024B1D"/>
    <w:rsid w:val="000276BB"/>
    <w:rsid w:val="00030AFC"/>
    <w:rsid w:val="00030DBC"/>
    <w:rsid w:val="00031073"/>
    <w:rsid w:val="00031177"/>
    <w:rsid w:val="000316FB"/>
    <w:rsid w:val="00036156"/>
    <w:rsid w:val="00040E2D"/>
    <w:rsid w:val="00043F7A"/>
    <w:rsid w:val="000546C6"/>
    <w:rsid w:val="00054DAD"/>
    <w:rsid w:val="00054F99"/>
    <w:rsid w:val="00066640"/>
    <w:rsid w:val="000668A1"/>
    <w:rsid w:val="0006783E"/>
    <w:rsid w:val="00067EAE"/>
    <w:rsid w:val="00071A9B"/>
    <w:rsid w:val="00072517"/>
    <w:rsid w:val="00074EFA"/>
    <w:rsid w:val="000853E8"/>
    <w:rsid w:val="00087792"/>
    <w:rsid w:val="0009177C"/>
    <w:rsid w:val="000A2A83"/>
    <w:rsid w:val="000D21A0"/>
    <w:rsid w:val="000E05D7"/>
    <w:rsid w:val="000F1F00"/>
    <w:rsid w:val="000F3B7C"/>
    <w:rsid w:val="000F4D8E"/>
    <w:rsid w:val="000F7756"/>
    <w:rsid w:val="0010676D"/>
    <w:rsid w:val="00114014"/>
    <w:rsid w:val="0012048F"/>
    <w:rsid w:val="00120573"/>
    <w:rsid w:val="00135982"/>
    <w:rsid w:val="00136A7D"/>
    <w:rsid w:val="001403FE"/>
    <w:rsid w:val="0014697C"/>
    <w:rsid w:val="00153E07"/>
    <w:rsid w:val="00157D3F"/>
    <w:rsid w:val="00165889"/>
    <w:rsid w:val="00170D21"/>
    <w:rsid w:val="00173600"/>
    <w:rsid w:val="00174DB7"/>
    <w:rsid w:val="00184922"/>
    <w:rsid w:val="00186C11"/>
    <w:rsid w:val="00187F64"/>
    <w:rsid w:val="001923A0"/>
    <w:rsid w:val="001961FB"/>
    <w:rsid w:val="001A155E"/>
    <w:rsid w:val="001A46B2"/>
    <w:rsid w:val="001B256D"/>
    <w:rsid w:val="001B3C39"/>
    <w:rsid w:val="001C1647"/>
    <w:rsid w:val="001C16F5"/>
    <w:rsid w:val="001D2AE9"/>
    <w:rsid w:val="001D48FA"/>
    <w:rsid w:val="001D5402"/>
    <w:rsid w:val="001D7649"/>
    <w:rsid w:val="001E3BE0"/>
    <w:rsid w:val="001F2D40"/>
    <w:rsid w:val="00201FEA"/>
    <w:rsid w:val="00202F13"/>
    <w:rsid w:val="00204733"/>
    <w:rsid w:val="002060DD"/>
    <w:rsid w:val="00212297"/>
    <w:rsid w:val="00222D3D"/>
    <w:rsid w:val="002232D8"/>
    <w:rsid w:val="00227EDC"/>
    <w:rsid w:val="00235906"/>
    <w:rsid w:val="002406A7"/>
    <w:rsid w:val="00242FE4"/>
    <w:rsid w:val="00245D05"/>
    <w:rsid w:val="002474CB"/>
    <w:rsid w:val="0025662D"/>
    <w:rsid w:val="002703A7"/>
    <w:rsid w:val="00270DD6"/>
    <w:rsid w:val="002769CA"/>
    <w:rsid w:val="002810A9"/>
    <w:rsid w:val="002839DD"/>
    <w:rsid w:val="00294A35"/>
    <w:rsid w:val="00297C1E"/>
    <w:rsid w:val="002A106F"/>
    <w:rsid w:val="002A7417"/>
    <w:rsid w:val="002B7C69"/>
    <w:rsid w:val="002C4721"/>
    <w:rsid w:val="002C6281"/>
    <w:rsid w:val="002D7980"/>
    <w:rsid w:val="002E3C1A"/>
    <w:rsid w:val="002E759F"/>
    <w:rsid w:val="002F0592"/>
    <w:rsid w:val="002F065D"/>
    <w:rsid w:val="002F0F11"/>
    <w:rsid w:val="002F2046"/>
    <w:rsid w:val="00300823"/>
    <w:rsid w:val="0030220F"/>
    <w:rsid w:val="0030504F"/>
    <w:rsid w:val="0030650B"/>
    <w:rsid w:val="00311A3F"/>
    <w:rsid w:val="00330A76"/>
    <w:rsid w:val="00343189"/>
    <w:rsid w:val="00344095"/>
    <w:rsid w:val="003468FD"/>
    <w:rsid w:val="003500EA"/>
    <w:rsid w:val="003526FC"/>
    <w:rsid w:val="0035592D"/>
    <w:rsid w:val="003560B5"/>
    <w:rsid w:val="003569A2"/>
    <w:rsid w:val="00357ECB"/>
    <w:rsid w:val="00364A6A"/>
    <w:rsid w:val="0036516B"/>
    <w:rsid w:val="00371964"/>
    <w:rsid w:val="00382096"/>
    <w:rsid w:val="00382AF9"/>
    <w:rsid w:val="00386865"/>
    <w:rsid w:val="00387F91"/>
    <w:rsid w:val="003B67EA"/>
    <w:rsid w:val="003B6BFC"/>
    <w:rsid w:val="003B6EC0"/>
    <w:rsid w:val="003C462F"/>
    <w:rsid w:val="00406A36"/>
    <w:rsid w:val="00413986"/>
    <w:rsid w:val="00413AB8"/>
    <w:rsid w:val="00421568"/>
    <w:rsid w:val="004325F1"/>
    <w:rsid w:val="004334C5"/>
    <w:rsid w:val="0043652F"/>
    <w:rsid w:val="004416D7"/>
    <w:rsid w:val="0044662A"/>
    <w:rsid w:val="0044738A"/>
    <w:rsid w:val="00450806"/>
    <w:rsid w:val="0045084F"/>
    <w:rsid w:val="00451076"/>
    <w:rsid w:val="004530BE"/>
    <w:rsid w:val="00480B27"/>
    <w:rsid w:val="004853DE"/>
    <w:rsid w:val="00493BC8"/>
    <w:rsid w:val="004A28C3"/>
    <w:rsid w:val="004A35E5"/>
    <w:rsid w:val="004A5B49"/>
    <w:rsid w:val="004B234B"/>
    <w:rsid w:val="004B243C"/>
    <w:rsid w:val="004B2FF5"/>
    <w:rsid w:val="004B4D81"/>
    <w:rsid w:val="004B7E43"/>
    <w:rsid w:val="004C561A"/>
    <w:rsid w:val="004C678F"/>
    <w:rsid w:val="004D10A5"/>
    <w:rsid w:val="004D182B"/>
    <w:rsid w:val="004D2CD9"/>
    <w:rsid w:val="004D2DFE"/>
    <w:rsid w:val="004D3B57"/>
    <w:rsid w:val="004D6BDE"/>
    <w:rsid w:val="004E1BEE"/>
    <w:rsid w:val="004E28FD"/>
    <w:rsid w:val="004E7369"/>
    <w:rsid w:val="004E7E6E"/>
    <w:rsid w:val="004F11A6"/>
    <w:rsid w:val="004F2A83"/>
    <w:rsid w:val="00506D21"/>
    <w:rsid w:val="005266C1"/>
    <w:rsid w:val="00527FB1"/>
    <w:rsid w:val="005325F9"/>
    <w:rsid w:val="00534A28"/>
    <w:rsid w:val="00542B49"/>
    <w:rsid w:val="00543CA7"/>
    <w:rsid w:val="005505B1"/>
    <w:rsid w:val="00553227"/>
    <w:rsid w:val="0055548C"/>
    <w:rsid w:val="00557B7D"/>
    <w:rsid w:val="00561EBE"/>
    <w:rsid w:val="00562A49"/>
    <w:rsid w:val="00571B71"/>
    <w:rsid w:val="00574A11"/>
    <w:rsid w:val="00577F4A"/>
    <w:rsid w:val="00580028"/>
    <w:rsid w:val="00593686"/>
    <w:rsid w:val="005A1317"/>
    <w:rsid w:val="005A4FEE"/>
    <w:rsid w:val="005B0984"/>
    <w:rsid w:val="005B29B7"/>
    <w:rsid w:val="005D1F47"/>
    <w:rsid w:val="005E5E9F"/>
    <w:rsid w:val="005F1464"/>
    <w:rsid w:val="005F4977"/>
    <w:rsid w:val="00604C5F"/>
    <w:rsid w:val="00610F0C"/>
    <w:rsid w:val="00612331"/>
    <w:rsid w:val="006229F7"/>
    <w:rsid w:val="00626445"/>
    <w:rsid w:val="0062658D"/>
    <w:rsid w:val="006303EB"/>
    <w:rsid w:val="00633E16"/>
    <w:rsid w:val="00637393"/>
    <w:rsid w:val="0064569F"/>
    <w:rsid w:val="00654381"/>
    <w:rsid w:val="00661597"/>
    <w:rsid w:val="00663473"/>
    <w:rsid w:val="0067213F"/>
    <w:rsid w:val="006755D2"/>
    <w:rsid w:val="00676846"/>
    <w:rsid w:val="00683523"/>
    <w:rsid w:val="006872CA"/>
    <w:rsid w:val="006A50B2"/>
    <w:rsid w:val="006B2925"/>
    <w:rsid w:val="006D5931"/>
    <w:rsid w:val="006E2974"/>
    <w:rsid w:val="006E422A"/>
    <w:rsid w:val="006F329B"/>
    <w:rsid w:val="006F70C4"/>
    <w:rsid w:val="00702645"/>
    <w:rsid w:val="007100F5"/>
    <w:rsid w:val="00712919"/>
    <w:rsid w:val="00712CB6"/>
    <w:rsid w:val="007151C5"/>
    <w:rsid w:val="00725303"/>
    <w:rsid w:val="00726564"/>
    <w:rsid w:val="00726725"/>
    <w:rsid w:val="007440ED"/>
    <w:rsid w:val="00745464"/>
    <w:rsid w:val="00747894"/>
    <w:rsid w:val="00754FF7"/>
    <w:rsid w:val="00760AD4"/>
    <w:rsid w:val="00760CDA"/>
    <w:rsid w:val="007645D3"/>
    <w:rsid w:val="007650D1"/>
    <w:rsid w:val="00767BC4"/>
    <w:rsid w:val="00773687"/>
    <w:rsid w:val="0077410D"/>
    <w:rsid w:val="007806B0"/>
    <w:rsid w:val="00784FE3"/>
    <w:rsid w:val="00787E90"/>
    <w:rsid w:val="00795683"/>
    <w:rsid w:val="00797076"/>
    <w:rsid w:val="007A249F"/>
    <w:rsid w:val="007B7592"/>
    <w:rsid w:val="007C4D42"/>
    <w:rsid w:val="007C6DE4"/>
    <w:rsid w:val="007D6611"/>
    <w:rsid w:val="007D6D2F"/>
    <w:rsid w:val="007D7BBD"/>
    <w:rsid w:val="007E2482"/>
    <w:rsid w:val="007E64D2"/>
    <w:rsid w:val="007F5979"/>
    <w:rsid w:val="007F5B61"/>
    <w:rsid w:val="007F74B2"/>
    <w:rsid w:val="00802018"/>
    <w:rsid w:val="008060D7"/>
    <w:rsid w:val="00807E54"/>
    <w:rsid w:val="0081691C"/>
    <w:rsid w:val="00816B96"/>
    <w:rsid w:val="00821F6C"/>
    <w:rsid w:val="00841765"/>
    <w:rsid w:val="008449F4"/>
    <w:rsid w:val="00844E18"/>
    <w:rsid w:val="00847891"/>
    <w:rsid w:val="00851DCC"/>
    <w:rsid w:val="00853E96"/>
    <w:rsid w:val="00863867"/>
    <w:rsid w:val="008653A5"/>
    <w:rsid w:val="00870480"/>
    <w:rsid w:val="008736AD"/>
    <w:rsid w:val="008759CA"/>
    <w:rsid w:val="0088003E"/>
    <w:rsid w:val="00880FB4"/>
    <w:rsid w:val="00882E25"/>
    <w:rsid w:val="00883859"/>
    <w:rsid w:val="00885232"/>
    <w:rsid w:val="00885B0B"/>
    <w:rsid w:val="008912AA"/>
    <w:rsid w:val="00891DB9"/>
    <w:rsid w:val="00892055"/>
    <w:rsid w:val="00893460"/>
    <w:rsid w:val="00893D9A"/>
    <w:rsid w:val="00896833"/>
    <w:rsid w:val="008A1326"/>
    <w:rsid w:val="008A1A5F"/>
    <w:rsid w:val="008A3D81"/>
    <w:rsid w:val="008A57FF"/>
    <w:rsid w:val="008B1937"/>
    <w:rsid w:val="008B2213"/>
    <w:rsid w:val="008B288B"/>
    <w:rsid w:val="008B6F87"/>
    <w:rsid w:val="008C17BC"/>
    <w:rsid w:val="008C3E6D"/>
    <w:rsid w:val="008D6368"/>
    <w:rsid w:val="008E52BE"/>
    <w:rsid w:val="008E65BD"/>
    <w:rsid w:val="008E74E8"/>
    <w:rsid w:val="008F474A"/>
    <w:rsid w:val="009045A3"/>
    <w:rsid w:val="0090518B"/>
    <w:rsid w:val="0090520A"/>
    <w:rsid w:val="00905555"/>
    <w:rsid w:val="009060ED"/>
    <w:rsid w:val="0091084E"/>
    <w:rsid w:val="00911765"/>
    <w:rsid w:val="00911C11"/>
    <w:rsid w:val="0091533F"/>
    <w:rsid w:val="00921115"/>
    <w:rsid w:val="009218C0"/>
    <w:rsid w:val="009239F6"/>
    <w:rsid w:val="00930F31"/>
    <w:rsid w:val="00931A07"/>
    <w:rsid w:val="009324DC"/>
    <w:rsid w:val="009346A1"/>
    <w:rsid w:val="009358E9"/>
    <w:rsid w:val="00936923"/>
    <w:rsid w:val="009432A4"/>
    <w:rsid w:val="0094457F"/>
    <w:rsid w:val="00954687"/>
    <w:rsid w:val="00956714"/>
    <w:rsid w:val="00960D83"/>
    <w:rsid w:val="009612EB"/>
    <w:rsid w:val="0096157A"/>
    <w:rsid w:val="0096346B"/>
    <w:rsid w:val="00965BEF"/>
    <w:rsid w:val="00965CD9"/>
    <w:rsid w:val="0097151B"/>
    <w:rsid w:val="00974A29"/>
    <w:rsid w:val="00975B84"/>
    <w:rsid w:val="009762F6"/>
    <w:rsid w:val="009764F5"/>
    <w:rsid w:val="00980ECE"/>
    <w:rsid w:val="00984A35"/>
    <w:rsid w:val="0099788F"/>
    <w:rsid w:val="00997D04"/>
    <w:rsid w:val="009A1199"/>
    <w:rsid w:val="009A4512"/>
    <w:rsid w:val="009B6448"/>
    <w:rsid w:val="009B73EF"/>
    <w:rsid w:val="009B7FF5"/>
    <w:rsid w:val="009C4521"/>
    <w:rsid w:val="009C4DE5"/>
    <w:rsid w:val="009C5940"/>
    <w:rsid w:val="009D27D1"/>
    <w:rsid w:val="009D4788"/>
    <w:rsid w:val="009D5941"/>
    <w:rsid w:val="009E701A"/>
    <w:rsid w:val="00A05A91"/>
    <w:rsid w:val="00A1753D"/>
    <w:rsid w:val="00A17DE0"/>
    <w:rsid w:val="00A25928"/>
    <w:rsid w:val="00A26F88"/>
    <w:rsid w:val="00A30338"/>
    <w:rsid w:val="00A406F2"/>
    <w:rsid w:val="00A41280"/>
    <w:rsid w:val="00A42516"/>
    <w:rsid w:val="00A4252F"/>
    <w:rsid w:val="00A42850"/>
    <w:rsid w:val="00A45346"/>
    <w:rsid w:val="00A45D29"/>
    <w:rsid w:val="00A45D5E"/>
    <w:rsid w:val="00A555B6"/>
    <w:rsid w:val="00A55B0E"/>
    <w:rsid w:val="00A64CE7"/>
    <w:rsid w:val="00A67DFE"/>
    <w:rsid w:val="00A72670"/>
    <w:rsid w:val="00A747E3"/>
    <w:rsid w:val="00A756D8"/>
    <w:rsid w:val="00A76259"/>
    <w:rsid w:val="00A811E1"/>
    <w:rsid w:val="00A873F7"/>
    <w:rsid w:val="00A92EB2"/>
    <w:rsid w:val="00A93536"/>
    <w:rsid w:val="00A935F8"/>
    <w:rsid w:val="00AA317C"/>
    <w:rsid w:val="00AB5B8C"/>
    <w:rsid w:val="00AB5CFA"/>
    <w:rsid w:val="00AC49B4"/>
    <w:rsid w:val="00AC75EC"/>
    <w:rsid w:val="00AC7AC3"/>
    <w:rsid w:val="00AD037B"/>
    <w:rsid w:val="00AD0DE0"/>
    <w:rsid w:val="00AD0E98"/>
    <w:rsid w:val="00AD1D8B"/>
    <w:rsid w:val="00AD461E"/>
    <w:rsid w:val="00AE76C9"/>
    <w:rsid w:val="00AE7EF4"/>
    <w:rsid w:val="00AF3303"/>
    <w:rsid w:val="00B11B6E"/>
    <w:rsid w:val="00B25AAB"/>
    <w:rsid w:val="00B32DF2"/>
    <w:rsid w:val="00B340EB"/>
    <w:rsid w:val="00B36B5F"/>
    <w:rsid w:val="00B421B7"/>
    <w:rsid w:val="00B46CC3"/>
    <w:rsid w:val="00B711AC"/>
    <w:rsid w:val="00B75D42"/>
    <w:rsid w:val="00B75F1E"/>
    <w:rsid w:val="00B761D7"/>
    <w:rsid w:val="00BA0285"/>
    <w:rsid w:val="00BB08DA"/>
    <w:rsid w:val="00BB1690"/>
    <w:rsid w:val="00BB36E0"/>
    <w:rsid w:val="00BC2A3A"/>
    <w:rsid w:val="00BC2BCC"/>
    <w:rsid w:val="00BC3732"/>
    <w:rsid w:val="00BC6603"/>
    <w:rsid w:val="00BC7AB6"/>
    <w:rsid w:val="00BC7B8A"/>
    <w:rsid w:val="00BD4773"/>
    <w:rsid w:val="00BE029B"/>
    <w:rsid w:val="00BE3D5C"/>
    <w:rsid w:val="00BE43FA"/>
    <w:rsid w:val="00BF48BE"/>
    <w:rsid w:val="00BF578E"/>
    <w:rsid w:val="00C04BAB"/>
    <w:rsid w:val="00C1244E"/>
    <w:rsid w:val="00C14CC0"/>
    <w:rsid w:val="00C14E3D"/>
    <w:rsid w:val="00C153C3"/>
    <w:rsid w:val="00C156BC"/>
    <w:rsid w:val="00C15B38"/>
    <w:rsid w:val="00C20149"/>
    <w:rsid w:val="00C2407D"/>
    <w:rsid w:val="00C259A5"/>
    <w:rsid w:val="00C314E0"/>
    <w:rsid w:val="00C323A3"/>
    <w:rsid w:val="00C3392B"/>
    <w:rsid w:val="00C36F66"/>
    <w:rsid w:val="00C563E9"/>
    <w:rsid w:val="00C56B44"/>
    <w:rsid w:val="00C5752F"/>
    <w:rsid w:val="00C6491C"/>
    <w:rsid w:val="00C703B5"/>
    <w:rsid w:val="00C80612"/>
    <w:rsid w:val="00C807A5"/>
    <w:rsid w:val="00C84F7A"/>
    <w:rsid w:val="00C861B6"/>
    <w:rsid w:val="00C926C0"/>
    <w:rsid w:val="00C92E67"/>
    <w:rsid w:val="00C93987"/>
    <w:rsid w:val="00C95B4D"/>
    <w:rsid w:val="00C962D1"/>
    <w:rsid w:val="00CA4540"/>
    <w:rsid w:val="00CB16D8"/>
    <w:rsid w:val="00CB3ADB"/>
    <w:rsid w:val="00CB4CFD"/>
    <w:rsid w:val="00CC2E9E"/>
    <w:rsid w:val="00CC769A"/>
    <w:rsid w:val="00CD3D9C"/>
    <w:rsid w:val="00CD6D32"/>
    <w:rsid w:val="00CE1142"/>
    <w:rsid w:val="00CE1731"/>
    <w:rsid w:val="00D04CA4"/>
    <w:rsid w:val="00D107EC"/>
    <w:rsid w:val="00D10E5F"/>
    <w:rsid w:val="00D125B1"/>
    <w:rsid w:val="00D126CA"/>
    <w:rsid w:val="00D133BE"/>
    <w:rsid w:val="00D3542F"/>
    <w:rsid w:val="00D37F46"/>
    <w:rsid w:val="00D42249"/>
    <w:rsid w:val="00D5616B"/>
    <w:rsid w:val="00D616C0"/>
    <w:rsid w:val="00D61B6E"/>
    <w:rsid w:val="00D6387E"/>
    <w:rsid w:val="00D73261"/>
    <w:rsid w:val="00D7789D"/>
    <w:rsid w:val="00D80500"/>
    <w:rsid w:val="00D83B6F"/>
    <w:rsid w:val="00D93027"/>
    <w:rsid w:val="00DA0731"/>
    <w:rsid w:val="00DA1114"/>
    <w:rsid w:val="00DA2B80"/>
    <w:rsid w:val="00DA44CA"/>
    <w:rsid w:val="00DB3C6E"/>
    <w:rsid w:val="00DD0157"/>
    <w:rsid w:val="00DD0477"/>
    <w:rsid w:val="00DD1D90"/>
    <w:rsid w:val="00DD45CB"/>
    <w:rsid w:val="00DD7074"/>
    <w:rsid w:val="00DE100B"/>
    <w:rsid w:val="00DE4246"/>
    <w:rsid w:val="00DE6609"/>
    <w:rsid w:val="00DE6686"/>
    <w:rsid w:val="00DF10F5"/>
    <w:rsid w:val="00E0003D"/>
    <w:rsid w:val="00E0313F"/>
    <w:rsid w:val="00E0700E"/>
    <w:rsid w:val="00E10134"/>
    <w:rsid w:val="00E1108C"/>
    <w:rsid w:val="00E14565"/>
    <w:rsid w:val="00E14EAC"/>
    <w:rsid w:val="00E14F20"/>
    <w:rsid w:val="00E155B6"/>
    <w:rsid w:val="00E306CD"/>
    <w:rsid w:val="00E30711"/>
    <w:rsid w:val="00E37445"/>
    <w:rsid w:val="00E42DD5"/>
    <w:rsid w:val="00E4367B"/>
    <w:rsid w:val="00E50E5F"/>
    <w:rsid w:val="00E510E8"/>
    <w:rsid w:val="00E51421"/>
    <w:rsid w:val="00E60413"/>
    <w:rsid w:val="00E60B27"/>
    <w:rsid w:val="00E6101A"/>
    <w:rsid w:val="00E619AA"/>
    <w:rsid w:val="00E62BAE"/>
    <w:rsid w:val="00E6372A"/>
    <w:rsid w:val="00E6588F"/>
    <w:rsid w:val="00E66F7C"/>
    <w:rsid w:val="00E76C42"/>
    <w:rsid w:val="00E807EB"/>
    <w:rsid w:val="00E85AC0"/>
    <w:rsid w:val="00E8618A"/>
    <w:rsid w:val="00EA4698"/>
    <w:rsid w:val="00EA5C30"/>
    <w:rsid w:val="00EA6342"/>
    <w:rsid w:val="00EB05C5"/>
    <w:rsid w:val="00EB226A"/>
    <w:rsid w:val="00EB3AB5"/>
    <w:rsid w:val="00EB4C43"/>
    <w:rsid w:val="00EB6893"/>
    <w:rsid w:val="00EC0802"/>
    <w:rsid w:val="00EC2C72"/>
    <w:rsid w:val="00ED46A6"/>
    <w:rsid w:val="00ED58D8"/>
    <w:rsid w:val="00ED775B"/>
    <w:rsid w:val="00EE1A79"/>
    <w:rsid w:val="00EE3B2F"/>
    <w:rsid w:val="00EE4003"/>
    <w:rsid w:val="00EF3D82"/>
    <w:rsid w:val="00EF5A1E"/>
    <w:rsid w:val="00EF5BB4"/>
    <w:rsid w:val="00EF66C6"/>
    <w:rsid w:val="00F00163"/>
    <w:rsid w:val="00F004BF"/>
    <w:rsid w:val="00F01E45"/>
    <w:rsid w:val="00F040CE"/>
    <w:rsid w:val="00F05C4A"/>
    <w:rsid w:val="00F072DD"/>
    <w:rsid w:val="00F12226"/>
    <w:rsid w:val="00F13E16"/>
    <w:rsid w:val="00F173FD"/>
    <w:rsid w:val="00F31E53"/>
    <w:rsid w:val="00F321F5"/>
    <w:rsid w:val="00F34C30"/>
    <w:rsid w:val="00F37C7C"/>
    <w:rsid w:val="00F577B1"/>
    <w:rsid w:val="00F57A2F"/>
    <w:rsid w:val="00F61493"/>
    <w:rsid w:val="00F62DB7"/>
    <w:rsid w:val="00F662E7"/>
    <w:rsid w:val="00F74349"/>
    <w:rsid w:val="00F754DE"/>
    <w:rsid w:val="00F75D15"/>
    <w:rsid w:val="00F770FA"/>
    <w:rsid w:val="00F80272"/>
    <w:rsid w:val="00F82A5B"/>
    <w:rsid w:val="00F867D7"/>
    <w:rsid w:val="00F9119F"/>
    <w:rsid w:val="00F95392"/>
    <w:rsid w:val="00FA1673"/>
    <w:rsid w:val="00FA2879"/>
    <w:rsid w:val="00FC1CF3"/>
    <w:rsid w:val="00FC2EBF"/>
    <w:rsid w:val="00FC5EE9"/>
    <w:rsid w:val="00FC7A4D"/>
    <w:rsid w:val="00FD5C04"/>
    <w:rsid w:val="00FD76B4"/>
    <w:rsid w:val="00FE09C1"/>
    <w:rsid w:val="00FE523F"/>
    <w:rsid w:val="00FF0BB2"/>
    <w:rsid w:val="00FF5315"/>
    <w:rsid w:val="00FF560E"/>
    <w:rsid w:val="00FF5C31"/>
    <w:rsid w:val="2A05220D"/>
    <w:rsid w:val="2B00BAF3"/>
    <w:rsid w:val="56631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E264EE"/>
  <w15:docId w15:val="{AD832DC1-BF56-4246-A6ED-6AC6C6972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1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9432A4"/>
    <w:pPr>
      <w:spacing w:after="0" w:line="240" w:lineRule="auto"/>
    </w:pPr>
  </w:style>
  <w:style w:type="paragraph" w:customStyle="1" w:styleId="1Nzev">
    <w:name w:val="1_Název"/>
    <w:basedOn w:val="Bezmezer"/>
    <w:link w:val="1NzevChar"/>
    <w:qFormat/>
    <w:rsid w:val="009432A4"/>
    <w:pPr>
      <w:spacing w:before="120" w:after="360"/>
      <w:jc w:val="center"/>
    </w:pPr>
    <w:rPr>
      <w:rFonts w:ascii="Arial" w:hAnsi="Arial" w:cs="Arial"/>
      <w:b/>
      <w:sz w:val="32"/>
      <w:szCs w:val="32"/>
    </w:rPr>
  </w:style>
  <w:style w:type="paragraph" w:customStyle="1" w:styleId="2Textzkladn">
    <w:name w:val="2_Text základní"/>
    <w:basedOn w:val="Bezmezer"/>
    <w:link w:val="2TextzkladnChar"/>
    <w:qFormat/>
    <w:rsid w:val="00754FF7"/>
    <w:pPr>
      <w:spacing w:after="120"/>
      <w:jc w:val="both"/>
    </w:pPr>
    <w:rPr>
      <w:rFonts w:ascii="Arial" w:hAnsi="Arial" w:cs="Arial"/>
      <w:sz w:val="20"/>
      <w:szCs w:val="20"/>
    </w:rPr>
  </w:style>
  <w:style w:type="character" w:customStyle="1" w:styleId="BezmezerChar">
    <w:name w:val="Bez mezer Char"/>
    <w:basedOn w:val="Standardnpsmoodstavce"/>
    <w:link w:val="Bezmezer"/>
    <w:uiPriority w:val="1"/>
    <w:rsid w:val="009432A4"/>
  </w:style>
  <w:style w:type="character" w:customStyle="1" w:styleId="1NzevChar">
    <w:name w:val="1_Název Char"/>
    <w:basedOn w:val="BezmezerChar"/>
    <w:link w:val="1Nzev"/>
    <w:rsid w:val="009432A4"/>
    <w:rPr>
      <w:rFonts w:ascii="Arial" w:hAnsi="Arial" w:cs="Arial"/>
      <w:b/>
      <w:sz w:val="32"/>
      <w:szCs w:val="32"/>
    </w:rPr>
  </w:style>
  <w:style w:type="paragraph" w:styleId="Zhlav">
    <w:name w:val="header"/>
    <w:basedOn w:val="Normln"/>
    <w:link w:val="Zhlav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2TextzkladnChar">
    <w:name w:val="2_Text základní Char"/>
    <w:basedOn w:val="BezmezerChar"/>
    <w:link w:val="2Textzkladn"/>
    <w:rsid w:val="00754FF7"/>
    <w:rPr>
      <w:rFonts w:ascii="Arial" w:hAnsi="Arial" w:cs="Arial"/>
      <w:sz w:val="20"/>
      <w:szCs w:val="20"/>
    </w:rPr>
  </w:style>
  <w:style w:type="character" w:customStyle="1" w:styleId="ZhlavChar">
    <w:name w:val="Záhlaví Char"/>
    <w:basedOn w:val="Standardnpsmoodstavce"/>
    <w:link w:val="Zhlav"/>
    <w:uiPriority w:val="99"/>
    <w:rsid w:val="009432A4"/>
  </w:style>
  <w:style w:type="paragraph" w:styleId="Zpat">
    <w:name w:val="footer"/>
    <w:basedOn w:val="Normln"/>
    <w:link w:val="ZpatChar"/>
    <w:uiPriority w:val="99"/>
    <w:unhideWhenUsed/>
    <w:rsid w:val="009432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432A4"/>
  </w:style>
  <w:style w:type="table" w:styleId="Mkatabulky">
    <w:name w:val="Table Grid"/>
    <w:basedOn w:val="Normlntabulka"/>
    <w:uiPriority w:val="39"/>
    <w:rsid w:val="009432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9432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32A4"/>
    <w:rPr>
      <w:rFonts w:ascii="Segoe UI" w:hAnsi="Segoe UI" w:cs="Segoe UI"/>
      <w:sz w:val="18"/>
      <w:szCs w:val="18"/>
    </w:rPr>
  </w:style>
  <w:style w:type="paragraph" w:customStyle="1" w:styleId="3Tabulkapopis">
    <w:name w:val="3_Tabulka popis"/>
    <w:basedOn w:val="2Textzkladn"/>
    <w:link w:val="3TabulkapopisChar"/>
    <w:qFormat/>
    <w:rsid w:val="00754FF7"/>
    <w:pPr>
      <w:spacing w:before="120"/>
      <w:jc w:val="center"/>
    </w:pPr>
    <w:rPr>
      <w:b/>
    </w:rPr>
  </w:style>
  <w:style w:type="paragraph" w:customStyle="1" w:styleId="5VlT">
    <w:name w:val="5_Vl T"/>
    <w:basedOn w:val="2Textzkladn"/>
    <w:link w:val="5VlTChar"/>
    <w:qFormat/>
    <w:rsid w:val="00754FF7"/>
    <w:pPr>
      <w:spacing w:before="120"/>
      <w:jc w:val="left"/>
    </w:pPr>
  </w:style>
  <w:style w:type="character" w:customStyle="1" w:styleId="3TabulkapopisChar">
    <w:name w:val="3_Tabulka popis Char"/>
    <w:basedOn w:val="2TextzkladnChar"/>
    <w:link w:val="3Tabulkapopis"/>
    <w:rsid w:val="00754FF7"/>
    <w:rPr>
      <w:rFonts w:ascii="Arial" w:hAnsi="Arial" w:cs="Arial"/>
      <w:b/>
      <w:sz w:val="20"/>
      <w:szCs w:val="20"/>
    </w:rPr>
  </w:style>
  <w:style w:type="paragraph" w:customStyle="1" w:styleId="6VlPT">
    <w:name w:val="6_Vl P T"/>
    <w:basedOn w:val="2Textzkladn"/>
    <w:link w:val="6VlPTChar"/>
    <w:qFormat/>
    <w:rsid w:val="00754FF7"/>
    <w:pPr>
      <w:spacing w:before="120"/>
      <w:ind w:left="318"/>
      <w:jc w:val="left"/>
    </w:pPr>
  </w:style>
  <w:style w:type="character" w:customStyle="1" w:styleId="5VlTChar">
    <w:name w:val="5_Vl T Char"/>
    <w:basedOn w:val="2TextzkladnChar"/>
    <w:link w:val="5VlT"/>
    <w:rsid w:val="00754FF7"/>
    <w:rPr>
      <w:rFonts w:ascii="Arial" w:hAnsi="Arial" w:cs="Arial"/>
      <w:sz w:val="20"/>
      <w:szCs w:val="20"/>
    </w:rPr>
  </w:style>
  <w:style w:type="paragraph" w:customStyle="1" w:styleId="7ST">
    <w:name w:val="7_S T"/>
    <w:basedOn w:val="2Textzkladn"/>
    <w:link w:val="7STChar"/>
    <w:qFormat/>
    <w:rsid w:val="0097151B"/>
    <w:pPr>
      <w:spacing w:before="120"/>
      <w:jc w:val="center"/>
    </w:pPr>
  </w:style>
  <w:style w:type="character" w:customStyle="1" w:styleId="6VlPTChar">
    <w:name w:val="6_Vl P T Char"/>
    <w:basedOn w:val="2TextzkladnChar"/>
    <w:link w:val="6VlPT"/>
    <w:rsid w:val="00754FF7"/>
    <w:rPr>
      <w:rFonts w:ascii="Arial" w:hAnsi="Arial" w:cs="Arial"/>
      <w:sz w:val="20"/>
      <w:szCs w:val="20"/>
    </w:rPr>
  </w:style>
  <w:style w:type="paragraph" w:customStyle="1" w:styleId="8VPT">
    <w:name w:val="8_VP T"/>
    <w:basedOn w:val="2Textzkladn"/>
    <w:link w:val="8VPTChar"/>
    <w:qFormat/>
    <w:rsid w:val="00BC3732"/>
    <w:pPr>
      <w:spacing w:before="120"/>
      <w:jc w:val="left"/>
    </w:pPr>
  </w:style>
  <w:style w:type="character" w:customStyle="1" w:styleId="7STChar">
    <w:name w:val="7_S T Char"/>
    <w:basedOn w:val="2TextzkladnChar"/>
    <w:link w:val="7ST"/>
    <w:rsid w:val="0097151B"/>
    <w:rPr>
      <w:rFonts w:ascii="Arial" w:hAnsi="Arial" w:cs="Arial"/>
      <w:sz w:val="20"/>
      <w:szCs w:val="20"/>
    </w:rPr>
  </w:style>
  <w:style w:type="paragraph" w:customStyle="1" w:styleId="9VPT">
    <w:name w:val="9_VP Č T"/>
    <w:basedOn w:val="8VPT"/>
    <w:link w:val="9VPTChar"/>
    <w:qFormat/>
    <w:rsid w:val="00BC3732"/>
    <w:pPr>
      <w:ind w:left="453" w:hanging="425"/>
      <w:contextualSpacing/>
    </w:pPr>
  </w:style>
  <w:style w:type="character" w:customStyle="1" w:styleId="8VPTChar">
    <w:name w:val="8_VP T Char"/>
    <w:basedOn w:val="2TextzkladnChar"/>
    <w:link w:val="8VPT"/>
    <w:rsid w:val="00BC3732"/>
    <w:rPr>
      <w:rFonts w:ascii="Arial" w:hAnsi="Arial" w:cs="Arial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54FF7"/>
    <w:pPr>
      <w:spacing w:after="0" w:line="240" w:lineRule="auto"/>
    </w:pPr>
    <w:rPr>
      <w:sz w:val="20"/>
      <w:szCs w:val="20"/>
    </w:rPr>
  </w:style>
  <w:style w:type="character" w:customStyle="1" w:styleId="9VPTChar">
    <w:name w:val="9_VP Č T Char"/>
    <w:basedOn w:val="8VPTChar"/>
    <w:link w:val="9VPT"/>
    <w:rsid w:val="00BC3732"/>
    <w:rPr>
      <w:rFonts w:ascii="Arial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54FF7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4FF7"/>
    <w:rPr>
      <w:vertAlign w:val="superscript"/>
    </w:rPr>
  </w:style>
  <w:style w:type="paragraph" w:customStyle="1" w:styleId="91Zhlavzpat">
    <w:name w:val="91_Záhlaví zápatí"/>
    <w:basedOn w:val="Zhlav"/>
    <w:link w:val="91ZhlavzpatChar"/>
    <w:qFormat/>
    <w:rsid w:val="00754FF7"/>
    <w:rPr>
      <w:rFonts w:ascii="Arial" w:hAnsi="Arial" w:cs="Arial"/>
      <w:sz w:val="18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20149"/>
    <w:rPr>
      <w:sz w:val="16"/>
      <w:szCs w:val="16"/>
    </w:rPr>
  </w:style>
  <w:style w:type="character" w:customStyle="1" w:styleId="91ZhlavzpatChar">
    <w:name w:val="91_Záhlaví zápatí Char"/>
    <w:basedOn w:val="ZhlavChar"/>
    <w:link w:val="91Zhlavzpat"/>
    <w:rsid w:val="00754FF7"/>
    <w:rPr>
      <w:rFonts w:ascii="Arial" w:hAnsi="Arial" w:cs="Arial"/>
      <w:sz w:val="18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2014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2014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201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20149"/>
    <w:rPr>
      <w:b/>
      <w:bCs/>
      <w:sz w:val="20"/>
      <w:szCs w:val="20"/>
    </w:rPr>
  </w:style>
  <w:style w:type="paragraph" w:customStyle="1" w:styleId="912Komente">
    <w:name w:val="912_Komentáře"/>
    <w:basedOn w:val="Textkomente"/>
    <w:link w:val="912KomenteChar"/>
    <w:qFormat/>
    <w:rsid w:val="00C20149"/>
    <w:rPr>
      <w:rFonts w:ascii="Arial" w:hAnsi="Arial" w:cs="Arial"/>
    </w:rPr>
  </w:style>
  <w:style w:type="character" w:styleId="Hypertextovodkaz">
    <w:name w:val="Hyperlink"/>
    <w:basedOn w:val="Standardnpsmoodstavce"/>
    <w:uiPriority w:val="99"/>
    <w:unhideWhenUsed/>
    <w:rsid w:val="004E7E6E"/>
    <w:rPr>
      <w:color w:val="0563C1" w:themeColor="hyperlink"/>
      <w:u w:val="single"/>
    </w:rPr>
  </w:style>
  <w:style w:type="character" w:customStyle="1" w:styleId="912KomenteChar">
    <w:name w:val="912_Komentáře Char"/>
    <w:basedOn w:val="TextkomenteChar"/>
    <w:link w:val="912Komente"/>
    <w:rsid w:val="00C20149"/>
    <w:rPr>
      <w:rFonts w:ascii="Arial" w:hAnsi="Arial" w:cs="Arial"/>
      <w:sz w:val="20"/>
      <w:szCs w:val="20"/>
    </w:rPr>
  </w:style>
  <w:style w:type="paragraph" w:customStyle="1" w:styleId="Tabvlevoodsazen">
    <w:name w:val="Tab. vlevo odsazení"/>
    <w:basedOn w:val="Bezmezer"/>
    <w:link w:val="TabvlevoodsazenChar"/>
    <w:uiPriority w:val="5"/>
    <w:qFormat/>
    <w:rsid w:val="0009177C"/>
    <w:pPr>
      <w:spacing w:line="276" w:lineRule="auto"/>
      <w:ind w:left="284"/>
    </w:pPr>
    <w:rPr>
      <w:rFonts w:ascii="Arial" w:hAnsi="Arial"/>
      <w:sz w:val="20"/>
    </w:rPr>
  </w:style>
  <w:style w:type="character" w:customStyle="1" w:styleId="TabvlevoodsazenChar">
    <w:name w:val="Tab. vlevo odsazení Char"/>
    <w:basedOn w:val="Standardnpsmoodstavce"/>
    <w:link w:val="Tabvlevoodsazen"/>
    <w:uiPriority w:val="5"/>
    <w:rsid w:val="0009177C"/>
    <w:rPr>
      <w:rFonts w:ascii="Arial" w:hAnsi="Arial"/>
      <w:sz w:val="20"/>
    </w:rPr>
  </w:style>
  <w:style w:type="paragraph" w:customStyle="1" w:styleId="Tabvlevo">
    <w:name w:val="Tab. vlevo"/>
    <w:basedOn w:val="Bezmezer"/>
    <w:link w:val="TabvlevoChar"/>
    <w:uiPriority w:val="4"/>
    <w:qFormat/>
    <w:rsid w:val="0009177C"/>
    <w:rPr>
      <w:rFonts w:ascii="Arial" w:hAnsi="Arial"/>
      <w:sz w:val="20"/>
    </w:rPr>
  </w:style>
  <w:style w:type="character" w:customStyle="1" w:styleId="TabvlevoChar">
    <w:name w:val="Tab. vlevo Char"/>
    <w:basedOn w:val="Standardnpsmoodstavce"/>
    <w:link w:val="Tabvlevo"/>
    <w:uiPriority w:val="4"/>
    <w:rsid w:val="0009177C"/>
    <w:rPr>
      <w:rFonts w:ascii="Arial" w:hAnsi="Arial"/>
      <w:sz w:val="20"/>
    </w:rPr>
  </w:style>
  <w:style w:type="paragraph" w:styleId="Nzev">
    <w:name w:val="Title"/>
    <w:basedOn w:val="Normln"/>
    <w:link w:val="NzevChar"/>
    <w:qFormat/>
    <w:rsid w:val="00FF5315"/>
    <w:pPr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FF5315"/>
    <w:rPr>
      <w:rFonts w:ascii="Arial" w:eastAsia="Times New Roman" w:hAnsi="Arial" w:cs="Times New Roman"/>
      <w:b/>
      <w:sz w:val="36"/>
      <w:szCs w:val="20"/>
      <w:lang w:val="x-none" w:eastAsia="x-none"/>
    </w:rPr>
  </w:style>
  <w:style w:type="character" w:styleId="Zstupntext">
    <w:name w:val="Placeholder Text"/>
    <w:basedOn w:val="Standardnpsmoodstavce"/>
    <w:uiPriority w:val="19"/>
    <w:rsid w:val="00DB3C6E"/>
    <w:rPr>
      <w:color w:val="auto"/>
    </w:rPr>
  </w:style>
  <w:style w:type="paragraph" w:customStyle="1" w:styleId="913Pod-pod">
    <w:name w:val="913_Pod-pod"/>
    <w:basedOn w:val="6VlPT"/>
    <w:link w:val="913Pod-podChar"/>
    <w:qFormat/>
    <w:rsid w:val="00821F6C"/>
    <w:pPr>
      <w:ind w:left="746"/>
    </w:pPr>
  </w:style>
  <w:style w:type="paragraph" w:customStyle="1" w:styleId="PpVOdst">
    <w:name w:val="PpV_Odst."/>
    <w:basedOn w:val="Normln"/>
    <w:link w:val="PpVOdstChar"/>
    <w:uiPriority w:val="7"/>
    <w:qFormat/>
    <w:rsid w:val="003B6BFC"/>
    <w:pPr>
      <w:numPr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913Pod-podChar">
    <w:name w:val="913_Pod-pod Char"/>
    <w:basedOn w:val="6VlPTChar"/>
    <w:link w:val="913Pod-pod"/>
    <w:rsid w:val="00821F6C"/>
    <w:rPr>
      <w:rFonts w:ascii="Arial" w:hAnsi="Arial" w:cs="Arial"/>
      <w:sz w:val="20"/>
      <w:szCs w:val="20"/>
    </w:rPr>
  </w:style>
  <w:style w:type="paragraph" w:customStyle="1" w:styleId="PpVPsm">
    <w:name w:val="PpV_Písm."/>
    <w:basedOn w:val="Normln"/>
    <w:link w:val="PpVPsmChar"/>
    <w:uiPriority w:val="7"/>
    <w:qFormat/>
    <w:rsid w:val="003B6BFC"/>
    <w:pPr>
      <w:numPr>
        <w:ilvl w:val="1"/>
        <w:numId w:val="8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PpVOdstChar">
    <w:name w:val="PpV_Odst. Char"/>
    <w:basedOn w:val="Standardnpsmoodstavce"/>
    <w:link w:val="PpVOdst"/>
    <w:uiPriority w:val="7"/>
    <w:rsid w:val="003B6BFC"/>
    <w:rPr>
      <w:rFonts w:ascii="Arial" w:hAnsi="Arial"/>
      <w:sz w:val="20"/>
    </w:rPr>
  </w:style>
  <w:style w:type="character" w:customStyle="1" w:styleId="PpVPsmChar">
    <w:name w:val="PpV_Písm. Char"/>
    <w:basedOn w:val="Standardnpsmoodstavce"/>
    <w:link w:val="PpVPsm"/>
    <w:uiPriority w:val="7"/>
    <w:rsid w:val="003B6BFC"/>
    <w:rPr>
      <w:rFonts w:ascii="Arial" w:hAnsi="Arial"/>
      <w:sz w:val="20"/>
    </w:rPr>
  </w:style>
  <w:style w:type="paragraph" w:customStyle="1" w:styleId="Odstavecseseznamem1">
    <w:name w:val="Odstavec se seznamem1"/>
    <w:basedOn w:val="Normln"/>
    <w:link w:val="ListParagraphChar"/>
    <w:rsid w:val="003B6BFC"/>
    <w:pPr>
      <w:spacing w:after="0" w:line="240" w:lineRule="auto"/>
      <w:ind w:left="720"/>
    </w:pPr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ListParagraphChar">
    <w:name w:val="List Paragraph Char"/>
    <w:link w:val="Odstavecseseznamem1"/>
    <w:locked/>
    <w:rsid w:val="003B6BFC"/>
    <w:rPr>
      <w:rFonts w:ascii="Times New Roman" w:eastAsia="SimSun" w:hAnsi="Times New Roman" w:cs="Times New Roman"/>
      <w:sz w:val="20"/>
      <w:szCs w:val="20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229F7"/>
    <w:rPr>
      <w:color w:val="605E5C"/>
      <w:shd w:val="clear" w:color="auto" w:fill="E1DFDD"/>
    </w:rPr>
  </w:style>
  <w:style w:type="paragraph" w:customStyle="1" w:styleId="SoDl">
    <w:name w:val="SoD_Čl."/>
    <w:basedOn w:val="Normln"/>
    <w:uiPriority w:val="1"/>
    <w:qFormat/>
    <w:rsid w:val="00AC7AC3"/>
    <w:pPr>
      <w:keepNext/>
      <w:numPr>
        <w:numId w:val="10"/>
      </w:numPr>
      <w:spacing w:before="240" w:after="120" w:line="276" w:lineRule="auto"/>
      <w:jc w:val="both"/>
      <w:outlineLvl w:val="0"/>
    </w:pPr>
    <w:rPr>
      <w:rFonts w:ascii="Arial" w:hAnsi="Arial"/>
      <w:b/>
      <w:sz w:val="20"/>
    </w:rPr>
  </w:style>
  <w:style w:type="paragraph" w:customStyle="1" w:styleId="SoDPsm">
    <w:name w:val="SoD_Písm."/>
    <w:basedOn w:val="Normln"/>
    <w:link w:val="SoDPsmChar"/>
    <w:uiPriority w:val="3"/>
    <w:qFormat/>
    <w:rsid w:val="00AC7AC3"/>
    <w:pPr>
      <w:numPr>
        <w:ilvl w:val="2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character" w:customStyle="1" w:styleId="SoDPsmChar">
    <w:name w:val="SoD_Písm. Char"/>
    <w:basedOn w:val="Standardnpsmoodstavce"/>
    <w:link w:val="SoDPsm"/>
    <w:uiPriority w:val="3"/>
    <w:rsid w:val="00AC7AC3"/>
    <w:rPr>
      <w:rFonts w:ascii="Arial" w:hAnsi="Arial"/>
      <w:sz w:val="20"/>
    </w:rPr>
  </w:style>
  <w:style w:type="paragraph" w:customStyle="1" w:styleId="SoDOdst">
    <w:name w:val="SoD_Odst."/>
    <w:basedOn w:val="Normln"/>
    <w:uiPriority w:val="2"/>
    <w:qFormat/>
    <w:rsid w:val="00AC7AC3"/>
    <w:pPr>
      <w:numPr>
        <w:ilvl w:val="1"/>
        <w:numId w:val="10"/>
      </w:numPr>
      <w:spacing w:after="120" w:line="276" w:lineRule="auto"/>
      <w:jc w:val="both"/>
    </w:pPr>
    <w:rPr>
      <w:rFonts w:ascii="Arial" w:hAnsi="Arial"/>
      <w:sz w:val="20"/>
    </w:rPr>
  </w:style>
  <w:style w:type="paragraph" w:customStyle="1" w:styleId="x8vpt">
    <w:name w:val="x_8vpt"/>
    <w:basedOn w:val="Normln"/>
    <w:rsid w:val="009117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xui-provider">
    <w:name w:val="x_ui-provider"/>
    <w:basedOn w:val="Standardnpsmoodstavce"/>
    <w:rsid w:val="00911765"/>
  </w:style>
  <w:style w:type="paragraph" w:styleId="Revize">
    <w:name w:val="Revision"/>
    <w:hidden/>
    <w:uiPriority w:val="99"/>
    <w:semiHidden/>
    <w:rsid w:val="00054F99"/>
    <w:pPr>
      <w:spacing w:after="0" w:line="240" w:lineRule="auto"/>
    </w:pPr>
  </w:style>
  <w:style w:type="character" w:styleId="Sledovanodkaz">
    <w:name w:val="FollowedHyperlink"/>
    <w:basedOn w:val="Standardnpsmoodstavce"/>
    <w:uiPriority w:val="99"/>
    <w:semiHidden/>
    <w:unhideWhenUsed/>
    <w:rsid w:val="00C259A5"/>
    <w:rPr>
      <w:color w:val="954F72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C259A5"/>
    <w:rPr>
      <w:color w:val="605E5C"/>
      <w:shd w:val="clear" w:color="auto" w:fill="E1DFDD"/>
    </w:rPr>
  </w:style>
  <w:style w:type="paragraph" w:customStyle="1" w:styleId="Odst">
    <w:name w:val="Odst."/>
    <w:basedOn w:val="Normln"/>
    <w:link w:val="OdstChar"/>
    <w:uiPriority w:val="2"/>
    <w:qFormat/>
    <w:rsid w:val="009060ED"/>
    <w:pPr>
      <w:spacing w:after="120" w:line="276" w:lineRule="auto"/>
      <w:ind w:left="142"/>
      <w:jc w:val="both"/>
    </w:pPr>
    <w:rPr>
      <w:rFonts w:ascii="Arial" w:hAnsi="Arial"/>
      <w:sz w:val="20"/>
    </w:rPr>
  </w:style>
  <w:style w:type="character" w:customStyle="1" w:styleId="OdstChar">
    <w:name w:val="Odst. Char"/>
    <w:basedOn w:val="Standardnpsmoodstavce"/>
    <w:link w:val="Odst"/>
    <w:uiPriority w:val="2"/>
    <w:rsid w:val="009060E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fdi.gov.cz/pravidla-a-metodiky/metodiky-schvalovane-sfdi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df82892-9f05-4115-b8bf-20a77a76b5d2" xsi:nil="true"/>
    <lcf76f155ced4ddcb4097134ff3c332f xmlns="29ed0e5a-0378-45b4-a990-92aa170f3820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5ECA69B4CC39459CF879808734A6B5" ma:contentTypeVersion="18" ma:contentTypeDescription="Vytvoří nový dokument" ma:contentTypeScope="" ma:versionID="1ff1a2ff228e8496d2cdd54681b8c6d9">
  <xsd:schema xmlns:xsd="http://www.w3.org/2001/XMLSchema" xmlns:xs="http://www.w3.org/2001/XMLSchema" xmlns:p="http://schemas.microsoft.com/office/2006/metadata/properties" xmlns:ns2="29ed0e5a-0378-45b4-a990-92aa170f3820" xmlns:ns3="4df82892-9f05-4115-b8bf-20a77a76b5d2" targetNamespace="http://schemas.microsoft.com/office/2006/metadata/properties" ma:root="true" ma:fieldsID="b8079a8c743d7c1b9f28c862330ab59d" ns2:_="" ns3:_="">
    <xsd:import namespace="29ed0e5a-0378-45b4-a990-92aa170f3820"/>
    <xsd:import namespace="4df82892-9f05-4115-b8bf-20a77a76b5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ed0e5a-0378-45b4-a990-92aa170f3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675c14e7-7a37-4663-861c-1ec0a0fc8fa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f82892-9f05-4115-b8bf-20a77a76b5d2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a4326ac-fbff-448f-9331-72fd366025f5}" ma:internalName="TaxCatchAll" ma:showField="CatchAllData" ma:web="4df82892-9f05-4115-b8bf-20a77a76b5d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FA31C4-C5C7-4BFA-9307-E3BFCF5201CE}">
  <ds:schemaRefs>
    <ds:schemaRef ds:uri="http://schemas.microsoft.com/office/2006/metadata/properties"/>
    <ds:schemaRef ds:uri="http://schemas.microsoft.com/office/infopath/2007/PartnerControls"/>
    <ds:schemaRef ds:uri="4df82892-9f05-4115-b8bf-20a77a76b5d2"/>
    <ds:schemaRef ds:uri="29ed0e5a-0378-45b4-a990-92aa170f3820"/>
  </ds:schemaRefs>
</ds:datastoreItem>
</file>

<file path=customXml/itemProps2.xml><?xml version="1.0" encoding="utf-8"?>
<ds:datastoreItem xmlns:ds="http://schemas.openxmlformats.org/officeDocument/2006/customXml" ds:itemID="{7079EDDB-262F-4DFF-8A8C-0592944FA4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3E768A-2392-49C3-978F-8AA11BABED70}"/>
</file>

<file path=customXml/itemProps4.xml><?xml version="1.0" encoding="utf-8"?>
<ds:datastoreItem xmlns:ds="http://schemas.openxmlformats.org/officeDocument/2006/customXml" ds:itemID="{57BBAC4E-1629-43B3-B1CE-A43E18A879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3077</Words>
  <Characters>18156</Characters>
  <Application>Microsoft Office Word</Application>
  <DocSecurity>0</DocSecurity>
  <Lines>151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Pochmon Zbyněk</dc:creator>
  <cp:keywords/>
  <dc:description/>
  <cp:lastModifiedBy>Krigulová Lucie</cp:lastModifiedBy>
  <cp:revision>13</cp:revision>
  <dcterms:created xsi:type="dcterms:W3CDTF">2024-11-13T09:18:00Z</dcterms:created>
  <dcterms:modified xsi:type="dcterms:W3CDTF">2024-11-13T09:25:00Z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0x010100C65ECA69B4CC39459CF879808734A6B5</vt:lpwstr>
  </property>
  <property fmtid="{D5CDD505-2E9C-101B-9397-08002B2CF9AE}" pid="3" name="MediaServiceImageTags">
    <vt:lpwstr/>
  </property>
</Properties>
</file>