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E07BF" w14:textId="77777777" w:rsidR="003B07BB" w:rsidRPr="00FA1718" w:rsidRDefault="003B07BB" w:rsidP="003B07BB">
      <w:pPr>
        <w:pStyle w:val="4993uroven"/>
        <w:rPr>
          <w:b/>
          <w:i/>
          <w:color w:val="auto"/>
        </w:rPr>
      </w:pPr>
      <w:r w:rsidRPr="00FA1718">
        <w:rPr>
          <w:b/>
          <w:i/>
          <w:color w:val="auto"/>
        </w:rPr>
        <w:t>D.1.4</w:t>
      </w:r>
      <w:r w:rsidRPr="00FA1718">
        <w:rPr>
          <w:b/>
          <w:i/>
          <w:color w:val="auto"/>
        </w:rPr>
        <w:tab/>
        <w:t xml:space="preserve">Technika prostředí staveb </w:t>
      </w:r>
    </w:p>
    <w:p w14:paraId="6A3C1A8D" w14:textId="77777777" w:rsidR="003B07BB" w:rsidRPr="00FA1718" w:rsidRDefault="003B07BB" w:rsidP="000C4C17">
      <w:pPr>
        <w:pStyle w:val="499textodrazeny"/>
        <w:numPr>
          <w:ilvl w:val="0"/>
          <w:numId w:val="3"/>
        </w:numPr>
        <w:tabs>
          <w:tab w:val="clear" w:pos="1605"/>
          <w:tab w:val="num" w:pos="1080"/>
          <w:tab w:val="left" w:pos="4860"/>
        </w:tabs>
        <w:ind w:left="1080"/>
        <w:jc w:val="both"/>
        <w:rPr>
          <w:b/>
          <w:color w:val="auto"/>
          <w:sz w:val="20"/>
          <w:szCs w:val="20"/>
        </w:rPr>
      </w:pPr>
      <w:r w:rsidRPr="00FA1718">
        <w:rPr>
          <w:b/>
          <w:color w:val="auto"/>
          <w:sz w:val="20"/>
          <w:szCs w:val="20"/>
          <w:u w:val="single"/>
        </w:rPr>
        <w:t>Technickou zprávu</w:t>
      </w:r>
      <w:r w:rsidRPr="00FA1718">
        <w:rPr>
          <w:b/>
          <w:color w:val="auto"/>
          <w:sz w:val="20"/>
          <w:szCs w:val="20"/>
        </w:rPr>
        <w:t xml:space="preserve"> </w:t>
      </w:r>
    </w:p>
    <w:p w14:paraId="486A6893" w14:textId="77777777" w:rsidR="00751977" w:rsidRPr="00FA1718" w:rsidRDefault="00751977" w:rsidP="000C4C17">
      <w:pPr>
        <w:pStyle w:val="Nadpis2"/>
        <w:numPr>
          <w:ilvl w:val="0"/>
          <w:numId w:val="6"/>
        </w:numPr>
        <w:tabs>
          <w:tab w:val="left" w:pos="567"/>
        </w:tabs>
        <w:rPr>
          <w:rFonts w:ascii="Arial" w:hAnsi="Arial"/>
          <w:b/>
          <w:sz w:val="20"/>
          <w:szCs w:val="20"/>
        </w:rPr>
      </w:pPr>
      <w:r w:rsidRPr="00FA1718">
        <w:rPr>
          <w:rFonts w:ascii="Arial" w:hAnsi="Arial"/>
          <w:b/>
          <w:sz w:val="20"/>
          <w:szCs w:val="20"/>
        </w:rPr>
        <w:t xml:space="preserve">zařízení silnoproudé </w:t>
      </w:r>
    </w:p>
    <w:p w14:paraId="353A9F80" w14:textId="77777777" w:rsidR="00751977" w:rsidRPr="00FA1718" w:rsidRDefault="00751977" w:rsidP="00751977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Tato část projektové dokumentace řeší základní koncepci silnoproudého elektrotechnického zařízení pro napájení a rozvody v zamýšlené výše uvedené stavbě. Návrh vychází z podkladů a požadavků stavební části, technologické části a ostatních profesí, dále z požadavků a zvyklostí investora a je zpracován ve smyslu platných ČSN a ostatních bezpečnostních a technických předpisů.</w:t>
      </w:r>
    </w:p>
    <w:p w14:paraId="2505D202" w14:textId="77777777" w:rsidR="00751977" w:rsidRPr="00FA1718" w:rsidRDefault="00751977" w:rsidP="00751977">
      <w:pPr>
        <w:pStyle w:val="Nadpis2"/>
        <w:numPr>
          <w:ilvl w:val="0"/>
          <w:numId w:val="0"/>
        </w:numPr>
        <w:ind w:left="567" w:hanging="567"/>
        <w:jc w:val="left"/>
        <w:rPr>
          <w:rFonts w:ascii="Arial" w:hAnsi="Arial"/>
          <w:sz w:val="20"/>
          <w:szCs w:val="20"/>
        </w:rPr>
      </w:pPr>
      <w:bookmarkStart w:id="0" w:name="_Toc146292398"/>
      <w:bookmarkStart w:id="1" w:name="_Toc159248305"/>
      <w:bookmarkStart w:id="2" w:name="_Toc173133052"/>
      <w:r w:rsidRPr="00FA1718">
        <w:rPr>
          <w:rFonts w:ascii="Arial" w:hAnsi="Arial"/>
          <w:sz w:val="20"/>
          <w:szCs w:val="20"/>
        </w:rPr>
        <w:t>Základní elektrická data</w:t>
      </w:r>
      <w:bookmarkEnd w:id="0"/>
      <w:bookmarkEnd w:id="1"/>
      <w:bookmarkEnd w:id="2"/>
    </w:p>
    <w:p w14:paraId="6B566EC4" w14:textId="77777777" w:rsidR="00751977" w:rsidRPr="00FA1718" w:rsidRDefault="00751977" w:rsidP="00751977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Napěťové soustavy</w:t>
      </w:r>
    </w:p>
    <w:p w14:paraId="6DE43F73" w14:textId="77777777" w:rsidR="00751977" w:rsidRPr="00FA1718" w:rsidRDefault="00751977" w:rsidP="00751977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 xml:space="preserve">3+PEN </w:t>
      </w:r>
      <w:r w:rsidRPr="00FA1718">
        <w:rPr>
          <w:rFonts w:ascii="Arial" w:hAnsi="Arial" w:cs="Arial"/>
          <w:sz w:val="20"/>
          <w:szCs w:val="20"/>
        </w:rPr>
        <w:sym w:font="Symbol" w:char="F0BB"/>
      </w:r>
      <w:r w:rsidRPr="00FA1718">
        <w:rPr>
          <w:rFonts w:ascii="Arial" w:hAnsi="Arial" w:cs="Arial"/>
          <w:sz w:val="20"/>
          <w:szCs w:val="20"/>
        </w:rPr>
        <w:t xml:space="preserve"> 50Hz, 230/400V – TN – C - hlavní přívod.</w:t>
      </w:r>
    </w:p>
    <w:p w14:paraId="68630E7E" w14:textId="77777777" w:rsidR="00751977" w:rsidRPr="00FA1718" w:rsidRDefault="00751977" w:rsidP="00751977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 xml:space="preserve">3+PE+N </w:t>
      </w:r>
      <w:r w:rsidRPr="00FA1718">
        <w:rPr>
          <w:rFonts w:ascii="Arial" w:hAnsi="Arial" w:cs="Arial"/>
          <w:sz w:val="20"/>
          <w:szCs w:val="20"/>
        </w:rPr>
        <w:sym w:font="Symbol" w:char="F0BB"/>
      </w:r>
      <w:r w:rsidRPr="00FA1718">
        <w:rPr>
          <w:rFonts w:ascii="Arial" w:hAnsi="Arial" w:cs="Arial"/>
          <w:sz w:val="20"/>
          <w:szCs w:val="20"/>
        </w:rPr>
        <w:t xml:space="preserve"> 50Hz, 230/400V – TN – S – vnitřní elektroinstalace</w:t>
      </w:r>
    </w:p>
    <w:p w14:paraId="738A908F" w14:textId="77777777" w:rsidR="000846EA" w:rsidRDefault="000846EA" w:rsidP="000846EA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Použití jiných napěťových soustav se v silnoproudu nepředpokládá.</w:t>
      </w:r>
    </w:p>
    <w:p w14:paraId="394C0EE0" w14:textId="77777777" w:rsidR="00751977" w:rsidRPr="00FA1718" w:rsidRDefault="00751977" w:rsidP="00751977">
      <w:pPr>
        <w:pStyle w:val="Nadpis2"/>
        <w:numPr>
          <w:ilvl w:val="0"/>
          <w:numId w:val="0"/>
        </w:numPr>
        <w:ind w:left="567" w:hanging="567"/>
        <w:jc w:val="left"/>
        <w:rPr>
          <w:rFonts w:ascii="Arial" w:hAnsi="Arial"/>
          <w:sz w:val="20"/>
          <w:szCs w:val="20"/>
        </w:rPr>
      </w:pPr>
      <w:bookmarkStart w:id="3" w:name="_Toc146292399"/>
      <w:bookmarkStart w:id="4" w:name="_Toc159248306"/>
      <w:bookmarkStart w:id="5" w:name="_Toc173133053"/>
      <w:r w:rsidRPr="00FA1718">
        <w:rPr>
          <w:rFonts w:ascii="Arial" w:hAnsi="Arial"/>
          <w:sz w:val="20"/>
          <w:szCs w:val="20"/>
        </w:rPr>
        <w:t>Ochrana před úrazem elektrickým proudem</w:t>
      </w:r>
      <w:bookmarkEnd w:id="3"/>
      <w:bookmarkEnd w:id="4"/>
      <w:bookmarkEnd w:id="5"/>
    </w:p>
    <w:p w14:paraId="35E36BC9" w14:textId="4204DE51" w:rsidR="00751977" w:rsidRPr="00FA1718" w:rsidRDefault="00751977" w:rsidP="00751977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Provede se ochrana ve smyslu ČSN 332000-4-41, zvýšená proudovými chrániči, doplněná hlavním a doplňujícím ochranným pospojováním a ochranným uzemněním. Živé části budou chráněny izolací, polohou a zábranou. Neživé části budou chráněny samočinným odpojením od zdroje, proudovými chrániči a pospojováním.</w:t>
      </w:r>
    </w:p>
    <w:p w14:paraId="70AAD1A3" w14:textId="77777777" w:rsidR="00751977" w:rsidRPr="00FA1718" w:rsidRDefault="00751977" w:rsidP="00751977">
      <w:pPr>
        <w:pStyle w:val="Nadpis2"/>
        <w:numPr>
          <w:ilvl w:val="0"/>
          <w:numId w:val="0"/>
        </w:numPr>
        <w:ind w:left="567" w:hanging="567"/>
        <w:jc w:val="left"/>
        <w:rPr>
          <w:rFonts w:ascii="Arial" w:hAnsi="Arial"/>
          <w:sz w:val="20"/>
          <w:szCs w:val="20"/>
        </w:rPr>
      </w:pPr>
      <w:bookmarkStart w:id="6" w:name="_Toc146292400"/>
      <w:bookmarkStart w:id="7" w:name="_Toc159248307"/>
      <w:bookmarkStart w:id="8" w:name="_Toc173133054"/>
      <w:r w:rsidRPr="00FA1718">
        <w:rPr>
          <w:rFonts w:ascii="Arial" w:hAnsi="Arial"/>
          <w:sz w:val="20"/>
          <w:szCs w:val="20"/>
        </w:rPr>
        <w:t>Technické řešení</w:t>
      </w:r>
      <w:bookmarkEnd w:id="6"/>
      <w:bookmarkEnd w:id="7"/>
      <w:bookmarkEnd w:id="8"/>
    </w:p>
    <w:p w14:paraId="64394F53" w14:textId="1EB58E10" w:rsidR="00751977" w:rsidRPr="00FA1718" w:rsidRDefault="00751977" w:rsidP="00751977">
      <w:pPr>
        <w:pStyle w:val="Nadpis3"/>
        <w:numPr>
          <w:ilvl w:val="0"/>
          <w:numId w:val="0"/>
        </w:numPr>
        <w:ind w:left="720" w:hanging="720"/>
        <w:jc w:val="left"/>
        <w:rPr>
          <w:rFonts w:ascii="Arial" w:hAnsi="Arial"/>
          <w:sz w:val="20"/>
          <w:szCs w:val="20"/>
        </w:rPr>
      </w:pPr>
      <w:bookmarkStart w:id="9" w:name="_Toc146292401"/>
      <w:bookmarkStart w:id="10" w:name="_Toc159248308"/>
      <w:bookmarkStart w:id="11" w:name="_Toc173133055"/>
      <w:r w:rsidRPr="00FA1718">
        <w:rPr>
          <w:rFonts w:ascii="Arial" w:hAnsi="Arial"/>
          <w:sz w:val="20"/>
          <w:szCs w:val="20"/>
        </w:rPr>
        <w:t xml:space="preserve">Napojení na </w:t>
      </w:r>
      <w:r w:rsidR="000B630C">
        <w:rPr>
          <w:rFonts w:ascii="Arial" w:hAnsi="Arial"/>
          <w:sz w:val="20"/>
          <w:szCs w:val="20"/>
        </w:rPr>
        <w:t>stávající</w:t>
      </w:r>
      <w:r w:rsidRPr="00FA1718">
        <w:rPr>
          <w:rFonts w:ascii="Arial" w:hAnsi="Arial"/>
          <w:sz w:val="20"/>
          <w:szCs w:val="20"/>
        </w:rPr>
        <w:t xml:space="preserve"> síť</w:t>
      </w:r>
      <w:bookmarkEnd w:id="9"/>
      <w:bookmarkEnd w:id="10"/>
      <w:bookmarkEnd w:id="11"/>
    </w:p>
    <w:p w14:paraId="178CECCC" w14:textId="0099F29F" w:rsidR="00E00E62" w:rsidRDefault="000B630C" w:rsidP="007519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Bude provedené ze stávající dílny na pozemku parc.č. 711 podzemní vedením kabelu CYKY 4B x 6 mm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 w:rsidR="00E00E62">
        <w:rPr>
          <w:rFonts w:ascii="Arial" w:hAnsi="Arial" w:cs="Arial"/>
          <w:sz w:val="20"/>
          <w:szCs w:val="20"/>
        </w:rPr>
        <w:t>.</w:t>
      </w:r>
      <w:r w:rsidR="00A57D91">
        <w:rPr>
          <w:rFonts w:ascii="Arial" w:hAnsi="Arial" w:cs="Arial"/>
          <w:sz w:val="20"/>
          <w:szCs w:val="20"/>
        </w:rPr>
        <w:t xml:space="preserve"> Na připojovací kabel před </w:t>
      </w:r>
      <w:r>
        <w:rPr>
          <w:rFonts w:ascii="Arial" w:hAnsi="Arial" w:cs="Arial"/>
          <w:sz w:val="20"/>
          <w:szCs w:val="20"/>
        </w:rPr>
        <w:t>P</w:t>
      </w:r>
      <w:r w:rsidR="00A57D91">
        <w:rPr>
          <w:rFonts w:ascii="Arial" w:hAnsi="Arial" w:cs="Arial"/>
          <w:sz w:val="20"/>
          <w:szCs w:val="20"/>
        </w:rPr>
        <w:t>DR bude osazen spínač TOTALSTOP.</w:t>
      </w:r>
    </w:p>
    <w:p w14:paraId="3FB7FAA5" w14:textId="77777777" w:rsidR="00751977" w:rsidRPr="00FA1718" w:rsidRDefault="00751977" w:rsidP="00751977">
      <w:pPr>
        <w:pStyle w:val="Nadpis3"/>
        <w:numPr>
          <w:ilvl w:val="0"/>
          <w:numId w:val="0"/>
        </w:numPr>
        <w:ind w:left="720" w:hanging="720"/>
        <w:jc w:val="left"/>
        <w:rPr>
          <w:rFonts w:ascii="Arial" w:hAnsi="Arial"/>
          <w:sz w:val="20"/>
          <w:szCs w:val="20"/>
        </w:rPr>
      </w:pPr>
      <w:bookmarkStart w:id="12" w:name="_Toc159248310"/>
      <w:bookmarkStart w:id="13" w:name="_Toc173133057"/>
      <w:r w:rsidRPr="00FA1718">
        <w:rPr>
          <w:rFonts w:ascii="Arial" w:hAnsi="Arial"/>
          <w:sz w:val="20"/>
          <w:szCs w:val="20"/>
        </w:rPr>
        <w:t>Příkonové údaje</w:t>
      </w:r>
      <w:bookmarkEnd w:id="12"/>
      <w:bookmarkEnd w:id="13"/>
    </w:p>
    <w:p w14:paraId="58B7C132" w14:textId="77777777" w:rsidR="0016555F" w:rsidRDefault="00751977" w:rsidP="0016555F">
      <w:pPr>
        <w:rPr>
          <w:rFonts w:ascii="Arial" w:hAnsi="Arial" w:cs="Arial"/>
          <w:sz w:val="20"/>
          <w:szCs w:val="20"/>
        </w:rPr>
      </w:pPr>
      <w:bookmarkStart w:id="14" w:name="_Toc146292404"/>
      <w:bookmarkStart w:id="15" w:name="_Toc159248311"/>
      <w:bookmarkStart w:id="16" w:name="_Toc173133058"/>
      <w:r w:rsidRPr="00FA1718">
        <w:rPr>
          <w:rFonts w:ascii="Arial" w:hAnsi="Arial" w:cs="Arial"/>
          <w:sz w:val="20"/>
          <w:szCs w:val="20"/>
        </w:rPr>
        <w:t>Rozvod</w:t>
      </w:r>
      <w:bookmarkEnd w:id="14"/>
      <w:bookmarkEnd w:id="15"/>
      <w:bookmarkEnd w:id="16"/>
    </w:p>
    <w:p w14:paraId="3BFA7E91" w14:textId="1C7B8F4E" w:rsidR="00751977" w:rsidRPr="0016555F" w:rsidRDefault="00751977" w:rsidP="0016555F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/>
          <w:sz w:val="20"/>
          <w:szCs w:val="20"/>
        </w:rPr>
        <w:t xml:space="preserve">Veškeré silnoproudé rozvody budou uloženy v technologickém prostoru obvodových stěn, v příčkách nebo v podlahách. Všechny silnoproudé rozvody budou provedeny celo-plastovými kabely s měděnými jádry typu CYKY a bude použit běžný elektroinstalační materiál vhodný do jednotlivých prostor. Spínače a ovladače budou umístěny v obvyklé výšce 120 až </w:t>
      </w:r>
      <w:smartTag w:uri="urn:schemas-microsoft-com:office:smarttags" w:element="metricconverter">
        <w:smartTagPr>
          <w:attr w:name="ProductID" w:val="140 cm"/>
        </w:smartTagPr>
        <w:r w:rsidRPr="00FA1718">
          <w:rPr>
            <w:rFonts w:ascii="Arial" w:hAnsi="Arial"/>
            <w:sz w:val="20"/>
            <w:szCs w:val="20"/>
          </w:rPr>
          <w:t>140 cm</w:t>
        </w:r>
      </w:smartTag>
      <w:r w:rsidRPr="00FA1718">
        <w:rPr>
          <w:rFonts w:ascii="Arial" w:hAnsi="Arial"/>
          <w:sz w:val="20"/>
          <w:szCs w:val="20"/>
        </w:rPr>
        <w:t xml:space="preserve"> nad čistou podlahou nebo dle požadavku investora. Zásuvky budou umístěny převážně ve výšce </w:t>
      </w:r>
      <w:smartTag w:uri="urn:schemas-microsoft-com:office:smarttags" w:element="metricconverter">
        <w:smartTagPr>
          <w:attr w:name="ProductID" w:val="30 cm"/>
        </w:smartTagPr>
        <w:r w:rsidRPr="00FA1718">
          <w:rPr>
            <w:rFonts w:ascii="Arial" w:hAnsi="Arial"/>
            <w:sz w:val="20"/>
            <w:szCs w:val="20"/>
          </w:rPr>
          <w:t>30 cm</w:t>
        </w:r>
      </w:smartTag>
      <w:r w:rsidRPr="00FA1718">
        <w:rPr>
          <w:rFonts w:ascii="Arial" w:hAnsi="Arial"/>
          <w:sz w:val="20"/>
          <w:szCs w:val="20"/>
        </w:rPr>
        <w:t xml:space="preserve"> nad čistou podlahou. </w:t>
      </w:r>
    </w:p>
    <w:p w14:paraId="13D64F47" w14:textId="77777777" w:rsidR="00751977" w:rsidRPr="00FA1718" w:rsidRDefault="00751977" w:rsidP="00751977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Zatížení kabelů je navrženo dle ČSN 33 2000-5-523, otvory ve zdech, kterými kabely procházejí, budou utěsněny.</w:t>
      </w:r>
      <w:bookmarkStart w:id="17" w:name="_Toc146292405"/>
      <w:bookmarkStart w:id="18" w:name="_Toc159248312"/>
      <w:bookmarkStart w:id="19" w:name="_Toc173133059"/>
    </w:p>
    <w:p w14:paraId="1FAC1F07" w14:textId="77777777" w:rsidR="00751977" w:rsidRPr="00FA1718" w:rsidRDefault="00751977" w:rsidP="00751977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Osvětlení</w:t>
      </w:r>
      <w:bookmarkEnd w:id="17"/>
      <w:bookmarkEnd w:id="18"/>
      <w:bookmarkEnd w:id="19"/>
    </w:p>
    <w:p w14:paraId="292F06EB" w14:textId="166E6CEE" w:rsidR="00751977" w:rsidRPr="00FA1718" w:rsidRDefault="00751977" w:rsidP="00751977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 xml:space="preserve">Volba typů svítidel a jejich instalace musí být provedena jednak hlediska snadné údržby a dále z hlediska požární bezpečnosti a bezpečnosti osob. Ovládání osvětlení ve všech prostorách bude umístěno u vstupů do jednotlivých místností pomocí spínačů. </w:t>
      </w:r>
    </w:p>
    <w:p w14:paraId="0C2921C4" w14:textId="77777777" w:rsidR="00751977" w:rsidRPr="00FA1718" w:rsidRDefault="00751977" w:rsidP="00751977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Dle ČSN 36 0450, 36 0451.</w:t>
      </w:r>
    </w:p>
    <w:p w14:paraId="21011F1E" w14:textId="06793982" w:rsidR="00751977" w:rsidRDefault="00751977" w:rsidP="00751977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 xml:space="preserve">Všechna použitá svítidla </w:t>
      </w:r>
      <w:r w:rsidR="00A57D91">
        <w:rPr>
          <w:rFonts w:ascii="Arial" w:hAnsi="Arial" w:cs="Arial"/>
          <w:sz w:val="20"/>
          <w:szCs w:val="20"/>
        </w:rPr>
        <w:t>budou v provedení LED</w:t>
      </w:r>
      <w:r w:rsidRPr="00FA1718">
        <w:rPr>
          <w:rFonts w:ascii="Arial" w:hAnsi="Arial" w:cs="Arial"/>
          <w:sz w:val="20"/>
          <w:szCs w:val="20"/>
        </w:rPr>
        <w:t>.</w:t>
      </w:r>
    </w:p>
    <w:p w14:paraId="43137D3E" w14:textId="77777777" w:rsidR="00751977" w:rsidRPr="00FA1718" w:rsidRDefault="00751977" w:rsidP="00751977">
      <w:pPr>
        <w:pStyle w:val="Nadpis2"/>
        <w:numPr>
          <w:ilvl w:val="0"/>
          <w:numId w:val="0"/>
        </w:numPr>
        <w:ind w:left="567" w:hanging="567"/>
        <w:jc w:val="left"/>
        <w:rPr>
          <w:rFonts w:ascii="Arial" w:hAnsi="Arial"/>
          <w:sz w:val="20"/>
          <w:szCs w:val="20"/>
        </w:rPr>
      </w:pPr>
      <w:bookmarkStart w:id="20" w:name="_Toc146292406"/>
      <w:bookmarkStart w:id="21" w:name="_Toc159248313"/>
      <w:bookmarkStart w:id="22" w:name="_Toc173133060"/>
      <w:r w:rsidRPr="00FA1718">
        <w:rPr>
          <w:rFonts w:ascii="Arial" w:hAnsi="Arial"/>
          <w:sz w:val="20"/>
          <w:szCs w:val="20"/>
        </w:rPr>
        <w:t>Pospojování</w:t>
      </w:r>
      <w:bookmarkEnd w:id="20"/>
      <w:bookmarkEnd w:id="21"/>
      <w:bookmarkEnd w:id="22"/>
    </w:p>
    <w:p w14:paraId="5DB887F7" w14:textId="77777777" w:rsidR="00751977" w:rsidRPr="00FA1718" w:rsidRDefault="00751977" w:rsidP="00751977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HLAVNÍ - OCHRANNÉ - POSPOJOVÁNÍ :</w:t>
      </w:r>
    </w:p>
    <w:p w14:paraId="0B4503C6" w14:textId="77777777" w:rsidR="00751977" w:rsidRPr="00FA1718" w:rsidRDefault="00751977" w:rsidP="00751977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V objektu musí být navzájem spojeny do tzv. hlavního pospojování tyto vodivé části:</w:t>
      </w:r>
    </w:p>
    <w:p w14:paraId="71AE6BC3" w14:textId="77777777" w:rsidR="00751977" w:rsidRPr="00FA1718" w:rsidRDefault="00751977" w:rsidP="00751977">
      <w:pPr>
        <w:rPr>
          <w:rFonts w:ascii="Arial" w:hAnsi="Arial" w:cs="Arial"/>
          <w:sz w:val="20"/>
          <w:szCs w:val="20"/>
        </w:rPr>
      </w:pPr>
      <w:bookmarkStart w:id="23" w:name="_Toc146292407"/>
      <w:r w:rsidRPr="00FA1718">
        <w:rPr>
          <w:rFonts w:ascii="Arial" w:hAnsi="Arial" w:cs="Arial"/>
          <w:sz w:val="20"/>
          <w:szCs w:val="20"/>
        </w:rPr>
        <w:t>Ochranný vodič</w:t>
      </w:r>
      <w:bookmarkEnd w:id="23"/>
    </w:p>
    <w:p w14:paraId="4B6917D1" w14:textId="77777777" w:rsidR="00751977" w:rsidRPr="00FA1718" w:rsidRDefault="00751977" w:rsidP="00751977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uzemňovací přívod nebo hlavní ochranná svorka</w:t>
      </w:r>
    </w:p>
    <w:p w14:paraId="352F5B35" w14:textId="77777777" w:rsidR="00751977" w:rsidRPr="00FA1718" w:rsidRDefault="00751977" w:rsidP="00751977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viditelné kovové nosné konstrukce atd.</w:t>
      </w:r>
    </w:p>
    <w:p w14:paraId="74CAD6A5" w14:textId="77777777" w:rsidR="00751977" w:rsidRPr="00FA1718" w:rsidRDefault="00751977" w:rsidP="00751977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Vodivé části přicházející do budovy z venku, musí být pospojovány co nejblíže, jak je to možné, k jejich vstupu do budovy.</w:t>
      </w:r>
    </w:p>
    <w:p w14:paraId="24996257" w14:textId="644F2C32" w:rsidR="00751977" w:rsidRDefault="00751977" w:rsidP="00751977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lastRenderedPageBreak/>
        <w:t xml:space="preserve">Hlavní ochranné pospojování (HOP) bude osazeno vedle rozvaděče </w:t>
      </w:r>
      <w:r w:rsidR="000B630C">
        <w:rPr>
          <w:rFonts w:ascii="Arial" w:hAnsi="Arial" w:cs="Arial"/>
          <w:sz w:val="20"/>
          <w:szCs w:val="20"/>
        </w:rPr>
        <w:t>P</w:t>
      </w:r>
      <w:r w:rsidRPr="00FA1718">
        <w:rPr>
          <w:rFonts w:ascii="Arial" w:hAnsi="Arial" w:cs="Arial"/>
          <w:sz w:val="20"/>
          <w:szCs w:val="20"/>
        </w:rPr>
        <w:t>DR (resp. pod ním) a bude napojeno na uzemňovací soustavu objektu, která bude provedena zemnícím páskem FeZn 30/4mm a z něho bude dále rozvedeno doplňující ochranné pospojování (DOP) vodičem CY4 zž.</w:t>
      </w:r>
    </w:p>
    <w:p w14:paraId="47A105DB" w14:textId="77777777" w:rsidR="000B630C" w:rsidRPr="00FA1718" w:rsidRDefault="000B630C" w:rsidP="000B630C">
      <w:pPr>
        <w:pStyle w:val="Nadpis2"/>
        <w:numPr>
          <w:ilvl w:val="0"/>
          <w:numId w:val="0"/>
        </w:numPr>
        <w:ind w:left="567" w:hanging="567"/>
        <w:jc w:val="left"/>
        <w:rPr>
          <w:rFonts w:ascii="Arial" w:hAnsi="Arial"/>
          <w:sz w:val="20"/>
          <w:szCs w:val="20"/>
        </w:rPr>
      </w:pPr>
      <w:bookmarkStart w:id="24" w:name="_Toc146292411"/>
      <w:bookmarkStart w:id="25" w:name="_Toc159248316"/>
      <w:bookmarkStart w:id="26" w:name="_Toc173133063"/>
      <w:r w:rsidRPr="00FA1718">
        <w:rPr>
          <w:rFonts w:ascii="Arial" w:hAnsi="Arial"/>
          <w:sz w:val="20"/>
          <w:szCs w:val="20"/>
        </w:rPr>
        <w:t>Hromosvod</w:t>
      </w:r>
      <w:bookmarkEnd w:id="24"/>
      <w:bookmarkEnd w:id="25"/>
      <w:bookmarkEnd w:id="26"/>
    </w:p>
    <w:p w14:paraId="02C12B26" w14:textId="4D5E29CE" w:rsidR="000B630C" w:rsidRPr="00FA1718" w:rsidRDefault="000B630C" w:rsidP="000B630C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 xml:space="preserve">Je navržena </w:t>
      </w:r>
      <w:r>
        <w:rPr>
          <w:rFonts w:ascii="Arial" w:hAnsi="Arial" w:cs="Arial"/>
          <w:sz w:val="20"/>
          <w:szCs w:val="20"/>
        </w:rPr>
        <w:t>obvod</w:t>
      </w:r>
      <w:r w:rsidRPr="00FA1718">
        <w:rPr>
          <w:rFonts w:ascii="Arial" w:hAnsi="Arial" w:cs="Arial"/>
          <w:sz w:val="20"/>
          <w:szCs w:val="20"/>
        </w:rPr>
        <w:t xml:space="preserve">ová jímací soustava doplněná pomocným jímačem, která bude provedena drátem </w:t>
      </w:r>
      <w:r>
        <w:rPr>
          <w:rFonts w:ascii="Arial" w:hAnsi="Arial" w:cs="Arial"/>
          <w:sz w:val="20"/>
          <w:szCs w:val="20"/>
        </w:rPr>
        <w:t>Al</w:t>
      </w:r>
      <w:r w:rsidRPr="00FA1718">
        <w:rPr>
          <w:rFonts w:ascii="Arial" w:hAnsi="Arial" w:cs="Arial"/>
          <w:sz w:val="20"/>
          <w:szCs w:val="20"/>
        </w:rPr>
        <w:t xml:space="preserve"> 8</w:t>
      </w:r>
      <w:r>
        <w:rPr>
          <w:rFonts w:ascii="Arial" w:hAnsi="Arial" w:cs="Arial"/>
          <w:sz w:val="20"/>
          <w:szCs w:val="20"/>
        </w:rPr>
        <w:t xml:space="preserve"> </w:t>
      </w:r>
      <w:r w:rsidRPr="00FA1718">
        <w:rPr>
          <w:rFonts w:ascii="Arial" w:hAnsi="Arial" w:cs="Arial"/>
          <w:sz w:val="20"/>
          <w:szCs w:val="20"/>
        </w:rPr>
        <w:t xml:space="preserve">mm po </w:t>
      </w:r>
      <w:r>
        <w:rPr>
          <w:rFonts w:ascii="Arial" w:hAnsi="Arial" w:cs="Arial"/>
          <w:sz w:val="20"/>
          <w:szCs w:val="20"/>
        </w:rPr>
        <w:t>atice</w:t>
      </w:r>
      <w:r w:rsidRPr="00FA1718">
        <w:rPr>
          <w:rFonts w:ascii="Arial" w:hAnsi="Arial" w:cs="Arial"/>
          <w:sz w:val="20"/>
          <w:szCs w:val="20"/>
        </w:rPr>
        <w:t>. Na obvodu objektu budou provedeny svody, které budou přes zkušební svorky napojeny na společnou uzemňovací soustavu objektu, tvořenou páskem FeZn 30/4 uloženým v základové konstrukci domu (max.2 Ohmy). Vše bude provedeno dle ČSN 34 1390.</w:t>
      </w:r>
    </w:p>
    <w:p w14:paraId="6348E2D1" w14:textId="77777777" w:rsidR="00751977" w:rsidRPr="00FA1718" w:rsidRDefault="00751977" w:rsidP="00751977">
      <w:pPr>
        <w:pStyle w:val="Nadpis2"/>
        <w:numPr>
          <w:ilvl w:val="0"/>
          <w:numId w:val="0"/>
        </w:numPr>
        <w:ind w:left="567" w:hanging="567"/>
        <w:jc w:val="left"/>
        <w:rPr>
          <w:rFonts w:ascii="Arial" w:hAnsi="Arial"/>
          <w:sz w:val="20"/>
          <w:szCs w:val="20"/>
        </w:rPr>
      </w:pPr>
      <w:bookmarkStart w:id="27" w:name="_Toc146292412"/>
      <w:bookmarkStart w:id="28" w:name="_Toc159248317"/>
      <w:bookmarkStart w:id="29" w:name="_Toc173133064"/>
      <w:r w:rsidRPr="00FA1718">
        <w:rPr>
          <w:rFonts w:ascii="Arial" w:hAnsi="Arial"/>
          <w:sz w:val="20"/>
          <w:szCs w:val="20"/>
        </w:rPr>
        <w:t>Závěr elektroinstalace</w:t>
      </w:r>
      <w:bookmarkEnd w:id="27"/>
      <w:bookmarkEnd w:id="28"/>
      <w:bookmarkEnd w:id="29"/>
      <w:r w:rsidRPr="00FA1718">
        <w:rPr>
          <w:rFonts w:ascii="Arial" w:hAnsi="Arial"/>
          <w:sz w:val="20"/>
          <w:szCs w:val="20"/>
        </w:rPr>
        <w:t xml:space="preserve"> </w:t>
      </w:r>
    </w:p>
    <w:p w14:paraId="7E325499" w14:textId="77777777" w:rsidR="00751977" w:rsidRPr="00FA1718" w:rsidRDefault="00751977" w:rsidP="00751977">
      <w:pPr>
        <w:rPr>
          <w:rFonts w:ascii="Arial" w:hAnsi="Arial" w:cs="Arial"/>
          <w:sz w:val="20"/>
          <w:szCs w:val="20"/>
        </w:rPr>
      </w:pPr>
      <w:r w:rsidRPr="00FA1718">
        <w:rPr>
          <w:rFonts w:ascii="Arial" w:hAnsi="Arial" w:cs="Arial"/>
          <w:sz w:val="20"/>
          <w:szCs w:val="20"/>
        </w:rPr>
        <w:t>Navržená základní koncepce respektuje ČSN a ostatní bezpečnostní předpisy. Provedení zařízení i montážní práce musí zaručovat, aby elektrické zařízení neskýtalo nebezpečí ohrožení zdraví nebo majetku, jak při normálních provozních režimech, tak při poruchových stavech, běžné údržbě a revizích. Elektrické zařízení je oprávněna instalovat osoba (firma) s potřebnou kvalifikací ve smyslu Vyhlášky č.50 ČÚBP. Před uvedením zařízení do provozu je třeba provést veškeré zkoušky a revize a vypracovat revizní zprávu.</w:t>
      </w:r>
    </w:p>
    <w:p w14:paraId="387F423C" w14:textId="77777777" w:rsidR="000846EA" w:rsidRDefault="000846EA" w:rsidP="0030684A">
      <w:pPr>
        <w:pStyle w:val="4992uroven"/>
        <w:outlineLvl w:val="0"/>
        <w:rPr>
          <w:b w:val="0"/>
          <w:color w:val="auto"/>
          <w:sz w:val="20"/>
          <w:szCs w:val="20"/>
        </w:rPr>
      </w:pPr>
    </w:p>
    <w:p w14:paraId="7B98073E" w14:textId="37124BFF" w:rsidR="0030684A" w:rsidRPr="00FA1718" w:rsidRDefault="00D505B7" w:rsidP="0030684A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FA1718">
        <w:rPr>
          <w:b w:val="0"/>
          <w:color w:val="auto"/>
          <w:sz w:val="20"/>
          <w:szCs w:val="20"/>
        </w:rPr>
        <w:t xml:space="preserve">v Kolíně dne </w:t>
      </w:r>
      <w:r w:rsidR="000B630C">
        <w:rPr>
          <w:b w:val="0"/>
          <w:color w:val="auto"/>
          <w:sz w:val="20"/>
          <w:szCs w:val="20"/>
        </w:rPr>
        <w:t>12.9</w:t>
      </w:r>
      <w:r w:rsidR="009D2E62">
        <w:rPr>
          <w:b w:val="0"/>
          <w:color w:val="auto"/>
          <w:sz w:val="20"/>
          <w:szCs w:val="20"/>
        </w:rPr>
        <w:t>.2023</w:t>
      </w:r>
    </w:p>
    <w:p w14:paraId="125AD880" w14:textId="77777777" w:rsidR="003B07BB" w:rsidRPr="00221D88" w:rsidRDefault="00D505B7" w:rsidP="00221D88">
      <w:pPr>
        <w:pStyle w:val="4992uroven"/>
        <w:outlineLvl w:val="0"/>
        <w:rPr>
          <w:b w:val="0"/>
          <w:color w:val="auto"/>
          <w:sz w:val="20"/>
          <w:szCs w:val="20"/>
        </w:rPr>
      </w:pPr>
      <w:r w:rsidRPr="00FA1718">
        <w:rPr>
          <w:b w:val="0"/>
          <w:color w:val="auto"/>
          <w:sz w:val="20"/>
          <w:szCs w:val="20"/>
        </w:rPr>
        <w:t>vypracoval: ing. Martin Škorpí</w:t>
      </w:r>
      <w:r w:rsidR="00221D88">
        <w:rPr>
          <w:b w:val="0"/>
          <w:color w:val="auto"/>
          <w:sz w:val="20"/>
          <w:szCs w:val="20"/>
        </w:rPr>
        <w:t>k</w:t>
      </w:r>
    </w:p>
    <w:p w14:paraId="42306D75" w14:textId="77777777" w:rsidR="003B07BB" w:rsidRPr="00FA1718" w:rsidRDefault="003B07BB" w:rsidP="00D505B7">
      <w:pPr>
        <w:rPr>
          <w:rFonts w:ascii="Arial" w:hAnsi="Arial" w:cs="Arial"/>
          <w:sz w:val="20"/>
          <w:szCs w:val="20"/>
        </w:rPr>
      </w:pPr>
    </w:p>
    <w:sectPr w:rsidR="003B07BB" w:rsidRPr="00FA1718" w:rsidSect="009C45D6">
      <w:headerReference w:type="default" r:id="rId7"/>
      <w:footerReference w:type="default" r:id="rId8"/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5536B" w14:textId="77777777" w:rsidR="00B36F88" w:rsidRDefault="00B36F88">
      <w:r>
        <w:separator/>
      </w:r>
    </w:p>
  </w:endnote>
  <w:endnote w:type="continuationSeparator" w:id="0">
    <w:p w14:paraId="6AE22E3B" w14:textId="77777777" w:rsidR="00B36F88" w:rsidRDefault="00B36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D5DE1" w14:textId="77777777" w:rsidR="00FA1718" w:rsidRPr="00FA1718" w:rsidRDefault="00FA1718">
    <w:pPr>
      <w:pStyle w:val="Zpat"/>
      <w:jc w:val="center"/>
      <w:rPr>
        <w:rFonts w:ascii="Arial" w:hAnsi="Arial" w:cs="Arial"/>
        <w:sz w:val="16"/>
        <w:szCs w:val="16"/>
      </w:rPr>
    </w:pPr>
    <w:r w:rsidRPr="00FA1718">
      <w:rPr>
        <w:rFonts w:ascii="Arial" w:hAnsi="Arial" w:cs="Arial"/>
        <w:sz w:val="16"/>
        <w:szCs w:val="16"/>
      </w:rPr>
      <w:t xml:space="preserve">Stránka </w:t>
    </w:r>
    <w:r w:rsidRPr="00FA1718">
      <w:rPr>
        <w:rFonts w:ascii="Arial" w:hAnsi="Arial" w:cs="Arial"/>
        <w:b/>
        <w:bCs/>
        <w:sz w:val="16"/>
        <w:szCs w:val="16"/>
      </w:rPr>
      <w:fldChar w:fldCharType="begin"/>
    </w:r>
    <w:r w:rsidRPr="00FA1718">
      <w:rPr>
        <w:rFonts w:ascii="Arial" w:hAnsi="Arial" w:cs="Arial"/>
        <w:b/>
        <w:bCs/>
        <w:sz w:val="16"/>
        <w:szCs w:val="16"/>
      </w:rPr>
      <w:instrText>PAGE</w:instrText>
    </w:r>
    <w:r w:rsidRPr="00FA1718">
      <w:rPr>
        <w:rFonts w:ascii="Arial" w:hAnsi="Arial" w:cs="Arial"/>
        <w:b/>
        <w:bCs/>
        <w:sz w:val="16"/>
        <w:szCs w:val="16"/>
      </w:rPr>
      <w:fldChar w:fldCharType="separate"/>
    </w:r>
    <w:r w:rsidRPr="00FA1718">
      <w:rPr>
        <w:rFonts w:ascii="Arial" w:hAnsi="Arial" w:cs="Arial"/>
        <w:b/>
        <w:bCs/>
        <w:sz w:val="16"/>
        <w:szCs w:val="16"/>
      </w:rPr>
      <w:t>2</w:t>
    </w:r>
    <w:r w:rsidRPr="00FA1718">
      <w:rPr>
        <w:rFonts w:ascii="Arial" w:hAnsi="Arial" w:cs="Arial"/>
        <w:b/>
        <w:bCs/>
        <w:sz w:val="16"/>
        <w:szCs w:val="16"/>
      </w:rPr>
      <w:fldChar w:fldCharType="end"/>
    </w:r>
    <w:r w:rsidRPr="00FA1718">
      <w:rPr>
        <w:rFonts w:ascii="Arial" w:hAnsi="Arial" w:cs="Arial"/>
        <w:sz w:val="16"/>
        <w:szCs w:val="16"/>
      </w:rPr>
      <w:t xml:space="preserve"> z </w:t>
    </w:r>
    <w:r w:rsidRPr="00FA1718">
      <w:rPr>
        <w:rFonts w:ascii="Arial" w:hAnsi="Arial" w:cs="Arial"/>
        <w:b/>
        <w:bCs/>
        <w:sz w:val="16"/>
        <w:szCs w:val="16"/>
      </w:rPr>
      <w:fldChar w:fldCharType="begin"/>
    </w:r>
    <w:r w:rsidRPr="00FA1718">
      <w:rPr>
        <w:rFonts w:ascii="Arial" w:hAnsi="Arial" w:cs="Arial"/>
        <w:b/>
        <w:bCs/>
        <w:sz w:val="16"/>
        <w:szCs w:val="16"/>
      </w:rPr>
      <w:instrText>NUMPAGES</w:instrText>
    </w:r>
    <w:r w:rsidRPr="00FA1718">
      <w:rPr>
        <w:rFonts w:ascii="Arial" w:hAnsi="Arial" w:cs="Arial"/>
        <w:b/>
        <w:bCs/>
        <w:sz w:val="16"/>
        <w:szCs w:val="16"/>
      </w:rPr>
      <w:fldChar w:fldCharType="separate"/>
    </w:r>
    <w:r w:rsidRPr="00FA1718">
      <w:rPr>
        <w:rFonts w:ascii="Arial" w:hAnsi="Arial" w:cs="Arial"/>
        <w:b/>
        <w:bCs/>
        <w:sz w:val="16"/>
        <w:szCs w:val="16"/>
      </w:rPr>
      <w:t>2</w:t>
    </w:r>
    <w:r w:rsidRPr="00FA1718">
      <w:rPr>
        <w:rFonts w:ascii="Arial" w:hAnsi="Arial" w:cs="Arial"/>
        <w:b/>
        <w:bCs/>
        <w:sz w:val="16"/>
        <w:szCs w:val="16"/>
      </w:rPr>
      <w:fldChar w:fldCharType="end"/>
    </w:r>
  </w:p>
  <w:p w14:paraId="578748D1" w14:textId="77777777" w:rsidR="00EF7F7B" w:rsidRPr="00FA1718" w:rsidRDefault="00EF7F7B" w:rsidP="009C45D6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C2725" w14:textId="77777777" w:rsidR="00B36F88" w:rsidRDefault="00B36F88">
      <w:r>
        <w:separator/>
      </w:r>
    </w:p>
  </w:footnote>
  <w:footnote w:type="continuationSeparator" w:id="0">
    <w:p w14:paraId="61A9908E" w14:textId="77777777" w:rsidR="00B36F88" w:rsidRDefault="00B36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F6188" w14:textId="77777777" w:rsidR="000B630C" w:rsidRDefault="000B630C" w:rsidP="000B630C">
    <w:pPr>
      <w:pStyle w:val="Bezmezer"/>
      <w:jc w:val="right"/>
      <w:rPr>
        <w:rFonts w:ascii="Arial" w:hAnsi="Arial" w:cs="Arial"/>
        <w:sz w:val="16"/>
        <w:szCs w:val="16"/>
      </w:rPr>
    </w:pPr>
    <w:r w:rsidRPr="00A70E12">
      <w:rPr>
        <w:rFonts w:ascii="Arial" w:hAnsi="Arial" w:cs="Arial"/>
        <w:sz w:val="16"/>
        <w:szCs w:val="16"/>
      </w:rPr>
      <w:t>Ing. Martin Škorpík Projekt s.r.o.</w:t>
    </w:r>
  </w:p>
  <w:p w14:paraId="366D4871" w14:textId="77777777" w:rsidR="000B630C" w:rsidRDefault="000B630C" w:rsidP="000B630C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 Břízách 794, 28002 Kolín 2</w:t>
    </w:r>
  </w:p>
  <w:p w14:paraId="1980ED12" w14:textId="77777777" w:rsidR="000B630C" w:rsidRDefault="00000000" w:rsidP="000B630C">
    <w:pPr>
      <w:pStyle w:val="Bezmezer"/>
      <w:jc w:val="right"/>
      <w:rPr>
        <w:rFonts w:ascii="Arial" w:hAnsi="Arial" w:cs="Arial"/>
        <w:sz w:val="16"/>
        <w:szCs w:val="16"/>
      </w:rPr>
    </w:pPr>
    <w:hyperlink r:id="rId1" w:history="1">
      <w:r w:rsidR="000B630C" w:rsidRPr="00402D0C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  <w:r w:rsidR="000B630C">
      <w:rPr>
        <w:rFonts w:ascii="Arial" w:hAnsi="Arial" w:cs="Arial"/>
        <w:sz w:val="16"/>
        <w:szCs w:val="16"/>
      </w:rPr>
      <w:t>, 607847839</w:t>
    </w:r>
  </w:p>
  <w:p w14:paraId="0213931A" w14:textId="77777777" w:rsidR="000B630C" w:rsidRDefault="000B630C" w:rsidP="000B630C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datová schránka: dzze6uq</w:t>
    </w:r>
  </w:p>
  <w:p w14:paraId="43FEEB77" w14:textId="77777777" w:rsidR="000B630C" w:rsidRPr="00940FBF" w:rsidRDefault="000B630C" w:rsidP="000B630C">
    <w:pPr>
      <w:pStyle w:val="Zhlav"/>
      <w:rPr>
        <w:b/>
        <w:bCs/>
        <w:sz w:val="16"/>
        <w:szCs w:val="16"/>
      </w:rPr>
    </w:pPr>
    <w:bookmarkStart w:id="30" w:name="_Hlk138071115"/>
    <w:r w:rsidRPr="00940FBF">
      <w:rPr>
        <w:b/>
        <w:bCs/>
        <w:sz w:val="16"/>
        <w:szCs w:val="16"/>
      </w:rPr>
      <w:t xml:space="preserve">Akce: </w:t>
    </w:r>
    <w:bookmarkEnd w:id="30"/>
    <w:r w:rsidRPr="00940FBF">
      <w:rPr>
        <w:b/>
        <w:bCs/>
        <w:sz w:val="16"/>
        <w:szCs w:val="16"/>
      </w:rPr>
      <w:t>STAVBA SKLADU PRO ZAHRADNÍ TECHNIKU</w:t>
    </w:r>
  </w:p>
  <w:p w14:paraId="6F8474AA" w14:textId="259C15B7" w:rsidR="00FA1718" w:rsidRDefault="000B630C" w:rsidP="000B630C">
    <w:pPr>
      <w:pStyle w:val="Zhlav"/>
      <w:rPr>
        <w:b/>
        <w:bCs/>
        <w:sz w:val="16"/>
        <w:szCs w:val="16"/>
      </w:rPr>
    </w:pPr>
    <w:r w:rsidRPr="00940FBF">
      <w:rPr>
        <w:b/>
        <w:bCs/>
        <w:sz w:val="16"/>
        <w:szCs w:val="16"/>
      </w:rPr>
      <w:t xml:space="preserve">          </w:t>
    </w:r>
    <w:r>
      <w:rPr>
        <w:b/>
        <w:bCs/>
        <w:sz w:val="16"/>
        <w:szCs w:val="16"/>
      </w:rPr>
      <w:t xml:space="preserve"> </w:t>
    </w:r>
    <w:r w:rsidRPr="00940FBF">
      <w:rPr>
        <w:b/>
        <w:bCs/>
        <w:sz w:val="16"/>
        <w:szCs w:val="16"/>
      </w:rPr>
      <w:t>NA POZEMKU PARC .Č. 985/3, K.Ú. VELKÝ OSEK</w:t>
    </w:r>
  </w:p>
  <w:p w14:paraId="7C9F6971" w14:textId="77777777" w:rsidR="000B630C" w:rsidRDefault="000B630C" w:rsidP="000B63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287D"/>
    <w:multiLevelType w:val="hybridMultilevel"/>
    <w:tmpl w:val="9AEE2B0A"/>
    <w:lvl w:ilvl="0" w:tplc="04050017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94C7E0B"/>
    <w:multiLevelType w:val="hybridMultilevel"/>
    <w:tmpl w:val="4C5011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30003"/>
    <w:multiLevelType w:val="multilevel"/>
    <w:tmpl w:val="BA62D28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8AE6E6E"/>
    <w:multiLevelType w:val="hybridMultilevel"/>
    <w:tmpl w:val="5D4238CA"/>
    <w:lvl w:ilvl="0" w:tplc="7BCE1B0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1"/>
        </w:tabs>
        <w:ind w:left="124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4" w15:restartNumberingAfterBreak="0">
    <w:nsid w:val="5FBC67CB"/>
    <w:multiLevelType w:val="hybridMultilevel"/>
    <w:tmpl w:val="0E2E5024"/>
    <w:lvl w:ilvl="0" w:tplc="94180794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72009E9"/>
    <w:multiLevelType w:val="multilevel"/>
    <w:tmpl w:val="6A5E1A1E"/>
    <w:styleLink w:val="StylSodrkami"/>
    <w:lvl w:ilvl="0">
      <w:start w:val="1"/>
      <w:numFmt w:val="bullet"/>
      <w:lvlText w:val="▷"/>
      <w:lvlJc w:val="left"/>
      <w:pPr>
        <w:tabs>
          <w:tab w:val="num" w:pos="720"/>
        </w:tabs>
        <w:ind w:left="720" w:hanging="360"/>
      </w:pPr>
      <w:rPr>
        <w:rFonts w:ascii="ISOCPEUR" w:hAnsi="ISOCPEUR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307CDE"/>
    <w:multiLevelType w:val="multilevel"/>
    <w:tmpl w:val="6A5E1A1E"/>
    <w:numStyleLink w:val="StylSodrkami"/>
  </w:abstractNum>
  <w:num w:numId="1" w16cid:durableId="1842313888">
    <w:abstractNumId w:val="2"/>
  </w:num>
  <w:num w:numId="2" w16cid:durableId="1536650715">
    <w:abstractNumId w:val="5"/>
  </w:num>
  <w:num w:numId="3" w16cid:durableId="1314288256">
    <w:abstractNumId w:val="3"/>
  </w:num>
  <w:num w:numId="4" w16cid:durableId="846552843">
    <w:abstractNumId w:val="6"/>
  </w:num>
  <w:num w:numId="5" w16cid:durableId="2103645268">
    <w:abstractNumId w:val="0"/>
  </w:num>
  <w:num w:numId="6" w16cid:durableId="1229265807">
    <w:abstractNumId w:val="4"/>
  </w:num>
  <w:num w:numId="7" w16cid:durableId="134848452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5D6"/>
    <w:rsid w:val="00033A1C"/>
    <w:rsid w:val="0004011F"/>
    <w:rsid w:val="000408BA"/>
    <w:rsid w:val="00052120"/>
    <w:rsid w:val="00056B66"/>
    <w:rsid w:val="000610EB"/>
    <w:rsid w:val="00071DF9"/>
    <w:rsid w:val="00075F34"/>
    <w:rsid w:val="00075F89"/>
    <w:rsid w:val="000846EA"/>
    <w:rsid w:val="00084DF8"/>
    <w:rsid w:val="0008703B"/>
    <w:rsid w:val="000B0404"/>
    <w:rsid w:val="000B630C"/>
    <w:rsid w:val="000B66F7"/>
    <w:rsid w:val="000B7622"/>
    <w:rsid w:val="000C4C17"/>
    <w:rsid w:val="000C646D"/>
    <w:rsid w:val="000D4765"/>
    <w:rsid w:val="000E0EBD"/>
    <w:rsid w:val="0010488D"/>
    <w:rsid w:val="00132A96"/>
    <w:rsid w:val="00143A15"/>
    <w:rsid w:val="0016555F"/>
    <w:rsid w:val="001953FA"/>
    <w:rsid w:val="00196F82"/>
    <w:rsid w:val="001A1785"/>
    <w:rsid w:val="001C5030"/>
    <w:rsid w:val="001D0C83"/>
    <w:rsid w:val="001E069C"/>
    <w:rsid w:val="001F4E2A"/>
    <w:rsid w:val="0020294D"/>
    <w:rsid w:val="00213DC6"/>
    <w:rsid w:val="00221D88"/>
    <w:rsid w:val="00223C2E"/>
    <w:rsid w:val="0023462D"/>
    <w:rsid w:val="00271061"/>
    <w:rsid w:val="002713DC"/>
    <w:rsid w:val="002812FA"/>
    <w:rsid w:val="00297CA5"/>
    <w:rsid w:val="002B63B7"/>
    <w:rsid w:val="002D0FB3"/>
    <w:rsid w:val="002F4AD4"/>
    <w:rsid w:val="0030684A"/>
    <w:rsid w:val="00326BFE"/>
    <w:rsid w:val="00347246"/>
    <w:rsid w:val="00351551"/>
    <w:rsid w:val="00354D01"/>
    <w:rsid w:val="00367001"/>
    <w:rsid w:val="00370F7C"/>
    <w:rsid w:val="00380612"/>
    <w:rsid w:val="00381A86"/>
    <w:rsid w:val="00382EB9"/>
    <w:rsid w:val="003A087F"/>
    <w:rsid w:val="003A7051"/>
    <w:rsid w:val="003A7EBE"/>
    <w:rsid w:val="003B040C"/>
    <w:rsid w:val="003B07BB"/>
    <w:rsid w:val="003B1035"/>
    <w:rsid w:val="003D1D09"/>
    <w:rsid w:val="003E4309"/>
    <w:rsid w:val="004140DF"/>
    <w:rsid w:val="0042282D"/>
    <w:rsid w:val="004309AC"/>
    <w:rsid w:val="0044431F"/>
    <w:rsid w:val="00446278"/>
    <w:rsid w:val="004543F8"/>
    <w:rsid w:val="00465D81"/>
    <w:rsid w:val="004723DE"/>
    <w:rsid w:val="00473DA5"/>
    <w:rsid w:val="00487EF9"/>
    <w:rsid w:val="00490BB7"/>
    <w:rsid w:val="00492CBD"/>
    <w:rsid w:val="004B0BF8"/>
    <w:rsid w:val="004C02FD"/>
    <w:rsid w:val="004C2362"/>
    <w:rsid w:val="004E3266"/>
    <w:rsid w:val="00512BC2"/>
    <w:rsid w:val="005164B8"/>
    <w:rsid w:val="00517C67"/>
    <w:rsid w:val="00541D36"/>
    <w:rsid w:val="00557B59"/>
    <w:rsid w:val="005A6B9E"/>
    <w:rsid w:val="005C340D"/>
    <w:rsid w:val="005C6898"/>
    <w:rsid w:val="005D0279"/>
    <w:rsid w:val="005D179D"/>
    <w:rsid w:val="005D3AD4"/>
    <w:rsid w:val="005D4647"/>
    <w:rsid w:val="005E4294"/>
    <w:rsid w:val="005F7628"/>
    <w:rsid w:val="00601595"/>
    <w:rsid w:val="00602385"/>
    <w:rsid w:val="00626A17"/>
    <w:rsid w:val="00635164"/>
    <w:rsid w:val="00650097"/>
    <w:rsid w:val="00655CB8"/>
    <w:rsid w:val="006673A4"/>
    <w:rsid w:val="0067157A"/>
    <w:rsid w:val="00673362"/>
    <w:rsid w:val="00673802"/>
    <w:rsid w:val="00674CC9"/>
    <w:rsid w:val="006A5157"/>
    <w:rsid w:val="006C4BC7"/>
    <w:rsid w:val="006C7992"/>
    <w:rsid w:val="006E0958"/>
    <w:rsid w:val="006E32E4"/>
    <w:rsid w:val="006E7E6A"/>
    <w:rsid w:val="006F7F9F"/>
    <w:rsid w:val="00711DC4"/>
    <w:rsid w:val="00715CF1"/>
    <w:rsid w:val="0073487A"/>
    <w:rsid w:val="0074667E"/>
    <w:rsid w:val="00746975"/>
    <w:rsid w:val="00751977"/>
    <w:rsid w:val="0075443A"/>
    <w:rsid w:val="00775D98"/>
    <w:rsid w:val="00780A5D"/>
    <w:rsid w:val="0079387F"/>
    <w:rsid w:val="007A3905"/>
    <w:rsid w:val="007B335A"/>
    <w:rsid w:val="007E3FF4"/>
    <w:rsid w:val="007E6141"/>
    <w:rsid w:val="007F1CBE"/>
    <w:rsid w:val="00803F0E"/>
    <w:rsid w:val="00822D27"/>
    <w:rsid w:val="008275C2"/>
    <w:rsid w:val="00841DFD"/>
    <w:rsid w:val="00852FDA"/>
    <w:rsid w:val="0087312D"/>
    <w:rsid w:val="0088285A"/>
    <w:rsid w:val="00891529"/>
    <w:rsid w:val="00894243"/>
    <w:rsid w:val="008A0781"/>
    <w:rsid w:val="008A48B5"/>
    <w:rsid w:val="008B0A39"/>
    <w:rsid w:val="008B0B11"/>
    <w:rsid w:val="008D5C8B"/>
    <w:rsid w:val="008E589D"/>
    <w:rsid w:val="00901B0C"/>
    <w:rsid w:val="0091451C"/>
    <w:rsid w:val="00955841"/>
    <w:rsid w:val="00993BE6"/>
    <w:rsid w:val="009940CD"/>
    <w:rsid w:val="009C45D6"/>
    <w:rsid w:val="009D2E62"/>
    <w:rsid w:val="009D3D08"/>
    <w:rsid w:val="009D6F9B"/>
    <w:rsid w:val="00A41845"/>
    <w:rsid w:val="00A4301E"/>
    <w:rsid w:val="00A45812"/>
    <w:rsid w:val="00A46F13"/>
    <w:rsid w:val="00A562B9"/>
    <w:rsid w:val="00A56D98"/>
    <w:rsid w:val="00A57D91"/>
    <w:rsid w:val="00A64F43"/>
    <w:rsid w:val="00A70AF1"/>
    <w:rsid w:val="00A75FFF"/>
    <w:rsid w:val="00A8557A"/>
    <w:rsid w:val="00AB0E77"/>
    <w:rsid w:val="00AB5B43"/>
    <w:rsid w:val="00AC4493"/>
    <w:rsid w:val="00AE6C7E"/>
    <w:rsid w:val="00AE7E10"/>
    <w:rsid w:val="00AF38B5"/>
    <w:rsid w:val="00AF42EB"/>
    <w:rsid w:val="00B11363"/>
    <w:rsid w:val="00B1201B"/>
    <w:rsid w:val="00B126A8"/>
    <w:rsid w:val="00B13092"/>
    <w:rsid w:val="00B16106"/>
    <w:rsid w:val="00B17D51"/>
    <w:rsid w:val="00B21B1B"/>
    <w:rsid w:val="00B335F6"/>
    <w:rsid w:val="00B36F88"/>
    <w:rsid w:val="00B5117D"/>
    <w:rsid w:val="00B56EAB"/>
    <w:rsid w:val="00B63852"/>
    <w:rsid w:val="00B70905"/>
    <w:rsid w:val="00BA13F2"/>
    <w:rsid w:val="00BA30B8"/>
    <w:rsid w:val="00BA5BA1"/>
    <w:rsid w:val="00BB4686"/>
    <w:rsid w:val="00BB785C"/>
    <w:rsid w:val="00BE5399"/>
    <w:rsid w:val="00BF72BA"/>
    <w:rsid w:val="00C11C07"/>
    <w:rsid w:val="00C226E6"/>
    <w:rsid w:val="00C22C01"/>
    <w:rsid w:val="00C35C73"/>
    <w:rsid w:val="00C35DF7"/>
    <w:rsid w:val="00C54945"/>
    <w:rsid w:val="00C572C5"/>
    <w:rsid w:val="00C75415"/>
    <w:rsid w:val="00CB2384"/>
    <w:rsid w:val="00CC7695"/>
    <w:rsid w:val="00CD78E9"/>
    <w:rsid w:val="00CE053A"/>
    <w:rsid w:val="00CF1DAB"/>
    <w:rsid w:val="00CF3F0C"/>
    <w:rsid w:val="00CF4A7C"/>
    <w:rsid w:val="00CF5D34"/>
    <w:rsid w:val="00CF5FAD"/>
    <w:rsid w:val="00D05CC3"/>
    <w:rsid w:val="00D06EF0"/>
    <w:rsid w:val="00D1450B"/>
    <w:rsid w:val="00D23601"/>
    <w:rsid w:val="00D47349"/>
    <w:rsid w:val="00D505B7"/>
    <w:rsid w:val="00D65115"/>
    <w:rsid w:val="00D67D4B"/>
    <w:rsid w:val="00D94136"/>
    <w:rsid w:val="00D97C0D"/>
    <w:rsid w:val="00DA37A6"/>
    <w:rsid w:val="00DA70FF"/>
    <w:rsid w:val="00DB42AA"/>
    <w:rsid w:val="00DB67EC"/>
    <w:rsid w:val="00DC6BC4"/>
    <w:rsid w:val="00DE0208"/>
    <w:rsid w:val="00DE17CE"/>
    <w:rsid w:val="00DF08A8"/>
    <w:rsid w:val="00DF63D4"/>
    <w:rsid w:val="00E00E62"/>
    <w:rsid w:val="00E2024E"/>
    <w:rsid w:val="00E24FE3"/>
    <w:rsid w:val="00E30F12"/>
    <w:rsid w:val="00E3562F"/>
    <w:rsid w:val="00E46088"/>
    <w:rsid w:val="00E52C1F"/>
    <w:rsid w:val="00E53010"/>
    <w:rsid w:val="00E53624"/>
    <w:rsid w:val="00E569D7"/>
    <w:rsid w:val="00E746DF"/>
    <w:rsid w:val="00ED50F6"/>
    <w:rsid w:val="00ED624B"/>
    <w:rsid w:val="00EE6B81"/>
    <w:rsid w:val="00EF31DD"/>
    <w:rsid w:val="00EF510E"/>
    <w:rsid w:val="00EF7F7B"/>
    <w:rsid w:val="00F02E31"/>
    <w:rsid w:val="00F14240"/>
    <w:rsid w:val="00F44A00"/>
    <w:rsid w:val="00FA1718"/>
    <w:rsid w:val="00FB2220"/>
    <w:rsid w:val="00FC3323"/>
    <w:rsid w:val="00FD39B9"/>
    <w:rsid w:val="00FE12B8"/>
    <w:rsid w:val="00FF444C"/>
    <w:rsid w:val="00F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4DF6B12"/>
  <w15:chartTrackingRefBased/>
  <w15:docId w15:val="{1DFBFC07-5D3E-4B60-A31C-FAE23048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C45D6"/>
    <w:pPr>
      <w:jc w:val="both"/>
    </w:pPr>
    <w:rPr>
      <w:rFonts w:ascii="ISOCPEUR" w:hAnsi="ISOCPEUR"/>
      <w:sz w:val="24"/>
      <w:szCs w:val="24"/>
    </w:rPr>
  </w:style>
  <w:style w:type="paragraph" w:styleId="Nadpis1">
    <w:name w:val="heading 1"/>
    <w:basedOn w:val="Normln"/>
    <w:next w:val="Normln"/>
    <w:qFormat/>
    <w:rsid w:val="009C45D6"/>
    <w:pPr>
      <w:keepNext/>
      <w:numPr>
        <w:numId w:val="1"/>
      </w:numPr>
      <w:pBdr>
        <w:bottom w:val="single" w:sz="24" w:space="1" w:color="auto"/>
      </w:pBdr>
      <w:spacing w:before="240" w:after="60"/>
      <w:outlineLvl w:val="0"/>
    </w:pPr>
    <w:rPr>
      <w:rFonts w:cs="Arial"/>
      <w:bCs/>
      <w:kern w:val="32"/>
      <w:sz w:val="30"/>
      <w:szCs w:val="32"/>
    </w:rPr>
  </w:style>
  <w:style w:type="paragraph" w:styleId="Nadpis2">
    <w:name w:val="heading 2"/>
    <w:basedOn w:val="Normln"/>
    <w:next w:val="Normln"/>
    <w:qFormat/>
    <w:rsid w:val="009C45D6"/>
    <w:pPr>
      <w:keepNext/>
      <w:numPr>
        <w:ilvl w:val="1"/>
        <w:numId w:val="1"/>
      </w:numPr>
      <w:pBdr>
        <w:bottom w:val="single" w:sz="18" w:space="1" w:color="auto"/>
      </w:pBdr>
      <w:spacing w:before="240" w:after="60"/>
      <w:outlineLvl w:val="1"/>
    </w:pPr>
    <w:rPr>
      <w:rFonts w:cs="Arial"/>
      <w:bCs/>
      <w:iCs/>
      <w:sz w:val="26"/>
      <w:szCs w:val="28"/>
    </w:rPr>
  </w:style>
  <w:style w:type="paragraph" w:styleId="Nadpis3">
    <w:name w:val="heading 3"/>
    <w:basedOn w:val="Normln"/>
    <w:next w:val="Normln"/>
    <w:qFormat/>
    <w:rsid w:val="009C45D6"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sz w:val="26"/>
      <w:szCs w:val="26"/>
    </w:rPr>
  </w:style>
  <w:style w:type="paragraph" w:styleId="Nadpis4">
    <w:name w:val="heading 4"/>
    <w:basedOn w:val="Normln"/>
    <w:next w:val="Normln"/>
    <w:qFormat/>
    <w:rsid w:val="009C45D6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9C45D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C45D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C45D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dpis8">
    <w:name w:val="heading 8"/>
    <w:basedOn w:val="Normln"/>
    <w:next w:val="Normln"/>
    <w:qFormat/>
    <w:rsid w:val="009C45D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Nadpis9">
    <w:name w:val="heading 9"/>
    <w:basedOn w:val="Normln"/>
    <w:next w:val="Normln"/>
    <w:qFormat/>
    <w:rsid w:val="009C45D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C45D6"/>
    <w:pPr>
      <w:tabs>
        <w:tab w:val="center" w:pos="4536"/>
        <w:tab w:val="right" w:pos="9072"/>
      </w:tabs>
    </w:pPr>
  </w:style>
  <w:style w:type="character" w:styleId="Hypertextovodkaz">
    <w:name w:val="Hyperlink"/>
    <w:rsid w:val="009C45D6"/>
    <w:rPr>
      <w:color w:val="0000FF"/>
      <w:u w:val="single"/>
    </w:rPr>
  </w:style>
  <w:style w:type="numbering" w:customStyle="1" w:styleId="StylSodrkami">
    <w:name w:val="Styl S odrážkami"/>
    <w:basedOn w:val="Bezseznamu"/>
    <w:rsid w:val="009C45D6"/>
    <w:pPr>
      <w:numPr>
        <w:numId w:val="2"/>
      </w:numPr>
    </w:pPr>
  </w:style>
  <w:style w:type="paragraph" w:styleId="Zpat">
    <w:name w:val="footer"/>
    <w:basedOn w:val="Normln"/>
    <w:link w:val="ZpatChar"/>
    <w:uiPriority w:val="99"/>
    <w:rsid w:val="00673362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uiPriority w:val="99"/>
    <w:unhideWhenUsed/>
    <w:rsid w:val="00490BB7"/>
    <w:pPr>
      <w:spacing w:before="150" w:after="150"/>
      <w:jc w:val="left"/>
    </w:pPr>
    <w:rPr>
      <w:rFonts w:ascii="Times New Roman" w:hAnsi="Times New Roman"/>
    </w:rPr>
  </w:style>
  <w:style w:type="character" w:styleId="Siln">
    <w:name w:val="Strong"/>
    <w:uiPriority w:val="22"/>
    <w:qFormat/>
    <w:rsid w:val="00490BB7"/>
    <w:rPr>
      <w:b/>
      <w:bCs/>
    </w:rPr>
  </w:style>
  <w:style w:type="character" w:customStyle="1" w:styleId="hoverefekt">
    <w:name w:val="hoverefekt"/>
    <w:basedOn w:val="Standardnpsmoodstavce"/>
    <w:rsid w:val="00490BB7"/>
  </w:style>
  <w:style w:type="paragraph" w:styleId="Textbubliny">
    <w:name w:val="Balloon Text"/>
    <w:basedOn w:val="Normln"/>
    <w:link w:val="TextbublinyChar"/>
    <w:rsid w:val="00BB78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B785C"/>
    <w:rPr>
      <w:rFonts w:ascii="Tahoma" w:hAnsi="Tahoma" w:cs="Tahoma"/>
      <w:sz w:val="16"/>
      <w:szCs w:val="16"/>
    </w:rPr>
  </w:style>
  <w:style w:type="paragraph" w:customStyle="1" w:styleId="noprint">
    <w:name w:val="noprint"/>
    <w:basedOn w:val="Normln"/>
    <w:rsid w:val="00446278"/>
    <w:pPr>
      <w:spacing w:before="125" w:after="125"/>
      <w:jc w:val="left"/>
    </w:pPr>
    <w:rPr>
      <w:rFonts w:ascii="Times New Roman" w:hAnsi="Times New Roman"/>
    </w:rPr>
  </w:style>
  <w:style w:type="paragraph" w:customStyle="1" w:styleId="4992uroven">
    <w:name w:val="499_2uroven"/>
    <w:basedOn w:val="Normln"/>
    <w:link w:val="4992urovenChar"/>
    <w:uiPriority w:val="99"/>
    <w:rsid w:val="007A3905"/>
    <w:pPr>
      <w:spacing w:before="120"/>
      <w:ind w:left="709" w:hanging="709"/>
      <w:jc w:val="left"/>
    </w:pPr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paragraph" w:customStyle="1" w:styleId="4991uroven">
    <w:name w:val="499_1uroven"/>
    <w:basedOn w:val="Normln"/>
    <w:link w:val="4991urovenChar"/>
    <w:uiPriority w:val="99"/>
    <w:rsid w:val="007A3905"/>
    <w:pPr>
      <w:spacing w:before="240"/>
      <w:jc w:val="left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link w:val="4992uroven"/>
    <w:uiPriority w:val="99"/>
    <w:rsid w:val="007A3905"/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paragraph" w:customStyle="1" w:styleId="499textodrazeny">
    <w:name w:val="499_text_odrazeny"/>
    <w:basedOn w:val="Normln"/>
    <w:link w:val="499textodrazenyChar"/>
    <w:uiPriority w:val="99"/>
    <w:rsid w:val="007A3905"/>
    <w:pPr>
      <w:spacing w:before="60"/>
      <w:ind w:left="709"/>
      <w:jc w:val="left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1urovenChar">
    <w:name w:val="499_1uroven Char"/>
    <w:link w:val="4991uroven"/>
    <w:uiPriority w:val="99"/>
    <w:rsid w:val="007A3905"/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paragraph" w:customStyle="1" w:styleId="4993uroven">
    <w:name w:val="499_3uroven"/>
    <w:basedOn w:val="Normln"/>
    <w:link w:val="4993urovenChar"/>
    <w:uiPriority w:val="99"/>
    <w:rsid w:val="007A3905"/>
    <w:pPr>
      <w:spacing w:before="120"/>
      <w:ind w:left="709" w:hanging="709"/>
      <w:jc w:val="left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odrazenyChar">
    <w:name w:val="499_text_odrazeny Char"/>
    <w:link w:val="499textodrazeny"/>
    <w:uiPriority w:val="99"/>
    <w:rsid w:val="007A3905"/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3urovenChar">
    <w:name w:val="499_3uroven Char"/>
    <w:link w:val="4993uroven"/>
    <w:uiPriority w:val="99"/>
    <w:rsid w:val="007A3905"/>
    <w:rPr>
      <w:rFonts w:ascii="Arial" w:eastAsia="Calibri" w:hAnsi="Arial" w:cs="Arial"/>
      <w:color w:val="000000"/>
      <w:lang w:eastAsia="en-US"/>
    </w:rPr>
  </w:style>
  <w:style w:type="paragraph" w:customStyle="1" w:styleId="499text">
    <w:name w:val="499_text"/>
    <w:basedOn w:val="Normln"/>
    <w:link w:val="499textChar"/>
    <w:uiPriority w:val="99"/>
    <w:rsid w:val="007A3905"/>
    <w:pPr>
      <w:spacing w:before="240" w:after="240"/>
      <w:jc w:val="left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link w:val="499text"/>
    <w:uiPriority w:val="99"/>
    <w:rsid w:val="007A3905"/>
    <w:rPr>
      <w:rFonts w:ascii="Arial" w:eastAsia="Calibri" w:hAnsi="Arial" w:cs="Arial"/>
      <w:color w:val="000000"/>
      <w:lang w:eastAsia="en-US"/>
    </w:rPr>
  </w:style>
  <w:style w:type="paragraph" w:styleId="Bezmezer">
    <w:name w:val="No Spacing"/>
    <w:uiPriority w:val="1"/>
    <w:qFormat/>
    <w:rsid w:val="007A3905"/>
    <w:pPr>
      <w:jc w:val="both"/>
    </w:pPr>
    <w:rPr>
      <w:rFonts w:ascii="ISOCPEUR" w:hAnsi="ISOCPEUR"/>
      <w:sz w:val="24"/>
      <w:szCs w:val="24"/>
    </w:rPr>
  </w:style>
  <w:style w:type="paragraph" w:styleId="Textkomente">
    <w:name w:val="annotation text"/>
    <w:basedOn w:val="Normln"/>
    <w:link w:val="TextkomenteChar"/>
    <w:rsid w:val="00F02E31"/>
    <w:pPr>
      <w:jc w:val="left"/>
    </w:pPr>
    <w:rPr>
      <w:sz w:val="20"/>
      <w:szCs w:val="20"/>
    </w:rPr>
  </w:style>
  <w:style w:type="character" w:customStyle="1" w:styleId="TextkomenteChar">
    <w:name w:val="Text komentáře Char"/>
    <w:link w:val="Textkomente"/>
    <w:rsid w:val="00F02E31"/>
    <w:rPr>
      <w:rFonts w:ascii="ISOCPEUR" w:hAnsi="ISOCPEUR"/>
    </w:rPr>
  </w:style>
  <w:style w:type="character" w:customStyle="1" w:styleId="ZpatChar">
    <w:name w:val="Zápatí Char"/>
    <w:link w:val="Zpat"/>
    <w:uiPriority w:val="99"/>
    <w:rsid w:val="00FA1718"/>
    <w:rPr>
      <w:rFonts w:ascii="ISOCPEUR" w:hAnsi="ISOCPEUR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A46F13"/>
    <w:rPr>
      <w:rFonts w:ascii="ISOCPEUR" w:hAnsi="ISOCPEUR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846EA"/>
    <w:pPr>
      <w:ind w:left="720"/>
      <w:contextualSpacing/>
    </w:pPr>
  </w:style>
  <w:style w:type="paragraph" w:customStyle="1" w:styleId="Default">
    <w:name w:val="Default"/>
    <w:rsid w:val="000B630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72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7914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14115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2448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88756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6087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84995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7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789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64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08620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8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6900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9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21591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0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9495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488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67711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365952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84376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363491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06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55383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9287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7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473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82322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1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85473">
              <w:marLeft w:val="-25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074194">
                  <w:marLeft w:val="2504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3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7638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34106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9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3397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51918">
              <w:marLeft w:val="25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9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162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5187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538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Hewlett-Packard Company</Company>
  <LinksUpToDate>false</LinksUpToDate>
  <CharactersWithSpaces>3711</CharactersWithSpaces>
  <SharedDoc>false</SharedDoc>
  <HLinks>
    <vt:vector size="6" baseType="variant">
      <vt:variant>
        <vt:i4>1310767</vt:i4>
      </vt:variant>
      <vt:variant>
        <vt:i4>0</vt:i4>
      </vt:variant>
      <vt:variant>
        <vt:i4>0</vt:i4>
      </vt:variant>
      <vt:variant>
        <vt:i4>5</vt:i4>
      </vt:variant>
      <vt:variant>
        <vt:lpwstr>mailto:mskorpik@skorpik.eu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subject/>
  <dc:creator>Ing. Martin Škorpík</dc:creator>
  <cp:keywords/>
  <cp:lastModifiedBy>Martin Škorpík</cp:lastModifiedBy>
  <cp:revision>3</cp:revision>
  <cp:lastPrinted>2023-06-22T10:43:00Z</cp:lastPrinted>
  <dcterms:created xsi:type="dcterms:W3CDTF">2023-10-02T10:09:00Z</dcterms:created>
  <dcterms:modified xsi:type="dcterms:W3CDTF">2023-10-03T13:02:00Z</dcterms:modified>
</cp:coreProperties>
</file>