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547D43E1" w:rsidR="00B0410B" w:rsidRPr="00271232" w:rsidRDefault="00004395"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7CED6F6C" w:rsidR="00B0410B" w:rsidRPr="008A4114" w:rsidRDefault="003069F7" w:rsidP="001027E1">
            <w:pPr>
              <w:spacing w:line="276" w:lineRule="auto"/>
              <w:rPr>
                <w:rFonts w:ascii="Arial" w:eastAsia="Calibri" w:hAnsi="Arial" w:cs="Arial"/>
                <w:b/>
                <w:sz w:val="20"/>
                <w:szCs w:val="20"/>
              </w:rPr>
            </w:pPr>
            <w:r w:rsidRPr="00515EBC">
              <w:rPr>
                <w:rFonts w:ascii="Arial" w:hAnsi="Arial" w:cs="Arial"/>
                <w:b/>
                <w:sz w:val="20"/>
                <w:szCs w:val="20"/>
              </w:rPr>
              <w:t>VD Slušovice, rekonstrukce bytové jednotky</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27232B77" w:rsidR="00680271" w:rsidRPr="009C5141" w:rsidRDefault="008B33A3" w:rsidP="00B0410B">
            <w:pPr>
              <w:spacing w:line="276" w:lineRule="auto"/>
              <w:rPr>
                <w:rFonts w:ascii="Arial" w:hAnsi="Arial" w:cs="Arial"/>
                <w:b/>
                <w:color w:val="0000FF"/>
                <w:sz w:val="20"/>
                <w:szCs w:val="20"/>
                <w:u w:val="single"/>
              </w:rPr>
            </w:pPr>
            <w:hyperlink r:id="rId8" w:history="1">
              <w:r w:rsidR="009C5141" w:rsidRPr="009C5141">
                <w:rPr>
                  <w:rStyle w:val="Hypertextovodkaz"/>
                  <w:rFonts w:ascii="Arial" w:hAnsi="Arial" w:cs="Arial"/>
                  <w:sz w:val="20"/>
                  <w:szCs w:val="20"/>
                </w:rPr>
                <w:t>https://zakazky.eagri.cz/contract_display_20312.html</w:t>
              </w:r>
            </w:hyperlink>
            <w:r w:rsidR="009C5141" w:rsidRPr="009C5141">
              <w:rPr>
                <w:rFonts w:ascii="Arial" w:hAnsi="Arial" w:cs="Arial"/>
                <w:sz w:val="20"/>
                <w:szCs w:val="20"/>
              </w:rPr>
              <w:t xml:space="preserve"> </w:t>
            </w:r>
            <w:r w:rsidR="00313F1A" w:rsidRPr="009C5141">
              <w:rPr>
                <w:rFonts w:ascii="Arial" w:hAnsi="Arial" w:cs="Arial"/>
                <w:sz w:val="20"/>
                <w:szCs w:val="20"/>
              </w:rPr>
              <w:t xml:space="preserve"> </w:t>
            </w:r>
            <w:r w:rsidR="00776D4D" w:rsidRPr="009C5141">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CF46E5">
      <w:pPr>
        <w:pStyle w:val="Psm"/>
        <w:numPr>
          <w:ilvl w:val="4"/>
          <w:numId w:val="40"/>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CF46E5">
      <w:pPr>
        <w:pStyle w:val="Psm"/>
        <w:numPr>
          <w:ilvl w:val="4"/>
          <w:numId w:val="40"/>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CF46E5">
      <w:pPr>
        <w:pStyle w:val="Psm"/>
        <w:numPr>
          <w:ilvl w:val="4"/>
          <w:numId w:val="40"/>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CF46E5">
      <w:pPr>
        <w:pStyle w:val="Psm"/>
        <w:numPr>
          <w:ilvl w:val="4"/>
          <w:numId w:val="40"/>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CF46E5">
      <w:pPr>
        <w:pStyle w:val="Psm"/>
        <w:numPr>
          <w:ilvl w:val="4"/>
          <w:numId w:val="40"/>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CF46E5">
      <w:pPr>
        <w:pStyle w:val="Psm"/>
        <w:numPr>
          <w:ilvl w:val="4"/>
          <w:numId w:val="40"/>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CF46E5">
      <w:pPr>
        <w:pStyle w:val="Psm"/>
        <w:numPr>
          <w:ilvl w:val="4"/>
          <w:numId w:val="40"/>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bookmarkStart w:id="0" w:name="_GoBack" w:displacedByCustomXml="next"/>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bookmarkEnd w:id="0" w:displacedByCustomXml="next"/>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CF46E5">
      <w:pPr>
        <w:keepNext/>
        <w:numPr>
          <w:ilvl w:val="0"/>
          <w:numId w:val="39"/>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CF46E5">
      <w:pPr>
        <w:keepNext/>
        <w:numPr>
          <w:ilvl w:val="0"/>
          <w:numId w:val="39"/>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1" w:name="_Toc492370945"/>
      <w:bookmarkStart w:id="2" w:name="_Toc492371371"/>
      <w:bookmarkStart w:id="3" w:name="_Toc492376118"/>
      <w:r w:rsidRPr="00271232">
        <w:rPr>
          <w:rFonts w:cs="Arial"/>
          <w:szCs w:val="20"/>
        </w:rPr>
        <w:t>rozsahu § 74 zákona č. 134/2016</w:t>
      </w:r>
      <w:bookmarkEnd w:id="1"/>
      <w:bookmarkEnd w:id="2"/>
      <w:bookmarkEnd w:id="3"/>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CF46E5">
      <w:pPr>
        <w:numPr>
          <w:ilvl w:val="4"/>
          <w:numId w:val="44"/>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CF46E5">
      <w:pPr>
        <w:pStyle w:val="Psm"/>
        <w:numPr>
          <w:ilvl w:val="4"/>
          <w:numId w:val="40"/>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CF46E5">
      <w:pPr>
        <w:pStyle w:val="Psm"/>
        <w:numPr>
          <w:ilvl w:val="4"/>
          <w:numId w:val="40"/>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CF46E5">
      <w:pPr>
        <w:pStyle w:val="Psm"/>
        <w:numPr>
          <w:ilvl w:val="4"/>
          <w:numId w:val="40"/>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CF46E5">
      <w:pPr>
        <w:pStyle w:val="Psm"/>
        <w:numPr>
          <w:ilvl w:val="4"/>
          <w:numId w:val="40"/>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4" w:name="_Hlk150937821"/>
      <w:r w:rsidRPr="00271232">
        <w:rPr>
          <w:rFonts w:ascii="Arial" w:eastAsia="Times New Roman" w:hAnsi="Arial" w:cs="Arial"/>
          <w:b/>
          <w:noProof w:val="0"/>
          <w:sz w:val="20"/>
          <w:szCs w:val="22"/>
          <w:lang w:eastAsia="cs-CZ"/>
        </w:rPr>
        <w:t xml:space="preserve">Profesní způsobilost </w:t>
      </w:r>
    </w:p>
    <w:bookmarkEnd w:id="4"/>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CF46E5">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644973C0" w:rsidR="00C654B6" w:rsidRDefault="00882BDB" w:rsidP="008A4114">
      <w:pPr>
        <w:keepNext/>
        <w:numPr>
          <w:ilvl w:val="0"/>
          <w:numId w:val="35"/>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9F6338">
        <w:rPr>
          <w:rFonts w:ascii="Arial" w:hAnsi="Arial" w:cs="Arial"/>
          <w:b/>
          <w:bCs/>
          <w:sz w:val="20"/>
          <w:szCs w:val="20"/>
        </w:rPr>
        <w:t>Provádění staveb jejich změn a odstraňování</w:t>
      </w:r>
      <w:r w:rsidR="00855A76" w:rsidRPr="009F6338">
        <w:rPr>
          <w:rFonts w:ascii="Arial" w:eastAsia="Times New Roman" w:hAnsi="Arial" w:cs="Arial"/>
          <w:noProof w:val="0"/>
          <w:sz w:val="20"/>
          <w:szCs w:val="22"/>
          <w:lang w:eastAsia="cs-CZ"/>
        </w:rPr>
        <w:t>;</w:t>
      </w:r>
    </w:p>
    <w:p w14:paraId="70EA762C" w14:textId="77777777" w:rsidR="00004395" w:rsidRPr="009F6338" w:rsidRDefault="00004395" w:rsidP="00004395">
      <w:pPr>
        <w:keepNext/>
        <w:spacing w:before="120" w:after="120" w:line="276" w:lineRule="auto"/>
        <w:ind w:left="709"/>
        <w:jc w:val="both"/>
        <w:outlineLvl w:val="1"/>
        <w:rPr>
          <w:rFonts w:ascii="Arial" w:eastAsia="Times New Roman" w:hAnsi="Arial" w:cs="Arial"/>
          <w:noProof w:val="0"/>
          <w:sz w:val="20"/>
          <w:szCs w:val="22"/>
          <w:lang w:eastAsia="cs-CZ"/>
        </w:rPr>
      </w:pPr>
    </w:p>
    <w:p w14:paraId="1265E69B" w14:textId="54640847"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1DFE0D4F" w14:textId="47C8E8BF" w:rsidR="009A112E"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0195B17F" w14:textId="77777777" w:rsidR="008A4114" w:rsidRPr="001F798E" w:rsidRDefault="008A4114" w:rsidP="001F798E">
      <w:pPr>
        <w:spacing w:before="120" w:line="276" w:lineRule="auto"/>
        <w:jc w:val="both"/>
        <w:rPr>
          <w:rFonts w:ascii="Arial" w:hAnsi="Arial" w:cs="Arial"/>
          <w:sz w:val="20"/>
          <w:u w:val="single"/>
        </w:rPr>
      </w:pP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t>Technická kvalifikace</w:t>
      </w:r>
      <w:r w:rsidR="00DE3557" w:rsidRPr="00FA0713">
        <w:rPr>
          <w:rFonts w:ascii="Arial" w:eastAsia="Times New Roman" w:hAnsi="Arial" w:cs="Arial"/>
          <w:b/>
          <w:noProof w:val="0"/>
          <w:sz w:val="20"/>
          <w:szCs w:val="22"/>
          <w:lang w:eastAsia="cs-CZ"/>
        </w:rPr>
        <w:t xml:space="preserve"> </w:t>
      </w:r>
    </w:p>
    <w:p w14:paraId="72228436" w14:textId="4E185C56" w:rsidR="00E16E3D" w:rsidRDefault="003E4768" w:rsidP="00B0410B">
      <w:pPr>
        <w:spacing w:after="200" w:line="276" w:lineRule="auto"/>
        <w:jc w:val="both"/>
        <w:rPr>
          <w:rFonts w:ascii="Arial" w:eastAsia="Calibri" w:hAnsi="Arial" w:cs="Arial"/>
          <w:sz w:val="20"/>
          <w:szCs w:val="20"/>
        </w:rPr>
      </w:pPr>
      <w:r>
        <w:rPr>
          <w:rFonts w:ascii="Arial" w:eastAsia="Calibri" w:hAnsi="Arial" w:cs="Arial"/>
          <w:sz w:val="20"/>
          <w:szCs w:val="20"/>
        </w:rPr>
        <w:t>Dodavatel</w:t>
      </w:r>
      <w:r w:rsidR="00B0410B" w:rsidRPr="00BE0410">
        <w:rPr>
          <w:rFonts w:ascii="Arial" w:eastAsia="Calibri" w:hAnsi="Arial" w:cs="Arial"/>
          <w:sz w:val="20"/>
          <w:szCs w:val="20"/>
        </w:rPr>
        <w:t xml:space="preserve"> prohlašuje, že </w:t>
      </w:r>
      <w:r w:rsidR="00B0410B" w:rsidRPr="00BE0410">
        <w:rPr>
          <w:rFonts w:ascii="Arial" w:eastAsia="Calibri" w:hAnsi="Arial" w:cs="Arial"/>
          <w:b/>
          <w:sz w:val="20"/>
          <w:szCs w:val="20"/>
        </w:rPr>
        <w:t>splňuje technickou kvalifikaci</w:t>
      </w:r>
      <w:r w:rsidR="00B0410B" w:rsidRPr="00F50878">
        <w:rPr>
          <w:rFonts w:ascii="Arial" w:eastAsia="Calibri" w:hAnsi="Arial" w:cs="Arial"/>
          <w:sz w:val="20"/>
          <w:szCs w:val="20"/>
        </w:rPr>
        <w:t xml:space="preserve">, </w:t>
      </w:r>
      <w:r w:rsidR="003C3EE3" w:rsidRPr="00F50878">
        <w:rPr>
          <w:rFonts w:ascii="Arial" w:eastAsia="Calibri" w:hAnsi="Arial" w:cs="Arial"/>
          <w:sz w:val="20"/>
          <w:szCs w:val="20"/>
        </w:rPr>
        <w:t xml:space="preserve">neboť předkládá </w:t>
      </w:r>
      <w:r w:rsidR="00B30AA3" w:rsidRPr="003069F7">
        <w:rPr>
          <w:rFonts w:ascii="Arial" w:eastAsia="Calibri" w:hAnsi="Arial" w:cs="Arial"/>
          <w:sz w:val="20"/>
          <w:szCs w:val="20"/>
        </w:rPr>
        <w:t>minimálně</w:t>
      </w:r>
      <w:r w:rsidR="00F50878" w:rsidRPr="003069F7">
        <w:rPr>
          <w:rFonts w:ascii="Arial" w:eastAsia="Calibri" w:hAnsi="Arial" w:cs="Arial"/>
          <w:sz w:val="20"/>
          <w:szCs w:val="20"/>
        </w:rPr>
        <w:t xml:space="preserve"> </w:t>
      </w:r>
      <w:r w:rsidR="00FA179D">
        <w:rPr>
          <w:rFonts w:ascii="Arial" w:eastAsia="Calibri" w:hAnsi="Arial" w:cs="Arial"/>
          <w:sz w:val="20"/>
          <w:szCs w:val="20"/>
        </w:rPr>
        <w:t>1</w:t>
      </w:r>
      <w:r w:rsidR="00B30AA3" w:rsidRPr="003069F7">
        <w:rPr>
          <w:rFonts w:ascii="Arial" w:eastAsia="Calibri" w:hAnsi="Arial" w:cs="Arial"/>
          <w:sz w:val="20"/>
          <w:szCs w:val="20"/>
        </w:rPr>
        <w:t xml:space="preserve"> </w:t>
      </w:r>
      <w:r w:rsidR="003069F7" w:rsidRPr="003069F7">
        <w:rPr>
          <w:rFonts w:ascii="Arial" w:hAnsi="Arial" w:cs="Arial"/>
          <w:sz w:val="20"/>
          <w:szCs w:val="20"/>
        </w:rPr>
        <w:t>zakázk</w:t>
      </w:r>
      <w:r w:rsidR="00FA179D">
        <w:rPr>
          <w:rFonts w:ascii="Arial" w:hAnsi="Arial" w:cs="Arial"/>
          <w:sz w:val="20"/>
          <w:szCs w:val="20"/>
        </w:rPr>
        <w:t>u</w:t>
      </w:r>
      <w:r w:rsidR="003069F7" w:rsidRPr="003069F7">
        <w:rPr>
          <w:rFonts w:ascii="Arial" w:hAnsi="Arial" w:cs="Arial"/>
          <w:sz w:val="20"/>
          <w:szCs w:val="20"/>
        </w:rPr>
        <w:t xml:space="preserve"> na obdobné stavební práce, jej</w:t>
      </w:r>
      <w:r w:rsidR="00FA179D">
        <w:rPr>
          <w:rFonts w:ascii="Arial" w:hAnsi="Arial" w:cs="Arial"/>
          <w:sz w:val="20"/>
          <w:szCs w:val="20"/>
        </w:rPr>
        <w:t>í</w:t>
      </w:r>
      <w:r w:rsidR="003069F7" w:rsidRPr="003069F7">
        <w:rPr>
          <w:rFonts w:ascii="Arial" w:hAnsi="Arial" w:cs="Arial"/>
          <w:sz w:val="20"/>
          <w:szCs w:val="20"/>
        </w:rPr>
        <w:t>ž součástí byla výstavba nebo oprava stavby pozemního stavebního objektu v minimální hodnotě 500 000 Kč bez DPH</w:t>
      </w:r>
      <w:r w:rsidR="001F798E" w:rsidRPr="003069F7">
        <w:rPr>
          <w:rFonts w:ascii="Arial" w:hAnsi="Arial" w:cs="Arial"/>
          <w:sz w:val="20"/>
          <w:szCs w:val="20"/>
        </w:rPr>
        <w:t>,</w:t>
      </w:r>
      <w:r w:rsidR="001F798E" w:rsidRPr="003069F7">
        <w:rPr>
          <w:rFonts w:ascii="Arial" w:eastAsia="Calibri" w:hAnsi="Arial" w:cs="Arial"/>
          <w:sz w:val="20"/>
          <w:szCs w:val="20"/>
        </w:rPr>
        <w:t xml:space="preserve"> realizované v posledních</w:t>
      </w:r>
      <w:r w:rsidR="001F798E" w:rsidRPr="00BE0410">
        <w:rPr>
          <w:rFonts w:ascii="Arial" w:eastAsia="Calibri" w:hAnsi="Arial" w:cs="Arial"/>
          <w:sz w:val="20"/>
          <w:szCs w:val="20"/>
        </w:rPr>
        <w:t xml:space="preserve"> 5 letech před zahájením </w:t>
      </w:r>
      <w:r w:rsidR="002B3193">
        <w:rPr>
          <w:rFonts w:ascii="Arial" w:eastAsia="Calibri" w:hAnsi="Arial" w:cs="Arial"/>
          <w:sz w:val="20"/>
          <w:szCs w:val="20"/>
        </w:rPr>
        <w:t>výběrového</w:t>
      </w:r>
      <w:r w:rsidR="001F798E" w:rsidRPr="00BE0410">
        <w:rPr>
          <w:rFonts w:ascii="Arial" w:eastAsia="Calibri" w:hAnsi="Arial" w:cs="Arial"/>
          <w:sz w:val="20"/>
          <w:szCs w:val="20"/>
        </w:rPr>
        <w:t xml:space="preserve"> řízení</w:t>
      </w:r>
      <w:r w:rsidR="005F317C" w:rsidRPr="00BE0410">
        <w:rPr>
          <w:rFonts w:ascii="Arial" w:eastAsia="Calibri" w:hAnsi="Arial" w:cs="Arial"/>
          <w:sz w:val="20"/>
          <w:szCs w:val="20"/>
        </w:rPr>
        <w:t>.</w:t>
      </w:r>
    </w:p>
    <w:p w14:paraId="77252AD8" w14:textId="67E98C97" w:rsidR="00E807B8" w:rsidRDefault="00E807B8" w:rsidP="00B0410B">
      <w:pPr>
        <w:spacing w:after="200" w:line="276" w:lineRule="auto"/>
        <w:jc w:val="both"/>
        <w:rPr>
          <w:rFonts w:ascii="Arial" w:eastAsia="Calibri" w:hAnsi="Arial" w:cs="Arial"/>
          <w:sz w:val="20"/>
          <w:szCs w:val="20"/>
        </w:rPr>
      </w:pPr>
    </w:p>
    <w:p w14:paraId="05C35AE5" w14:textId="77777777" w:rsidR="00E807B8" w:rsidRPr="00BE0410" w:rsidRDefault="00E807B8" w:rsidP="00B0410B">
      <w:pPr>
        <w:spacing w:after="200" w:line="276" w:lineRule="auto"/>
        <w:jc w:val="both"/>
        <w:rPr>
          <w:rFonts w:ascii="Arial" w:eastAsia="Calibri" w:hAnsi="Arial" w:cs="Arial"/>
          <w:sz w:val="20"/>
          <w:szCs w:val="20"/>
        </w:rPr>
      </w:pP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7E7F70AD" w14:textId="610D6328" w:rsidR="001B5F04" w:rsidRPr="000D3C59" w:rsidRDefault="00C018A7" w:rsidP="000D3C59">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1BBCB57B" w14:textId="77777777" w:rsidR="00F9702F" w:rsidRDefault="00F9702F" w:rsidP="001B5F04">
      <w:pPr>
        <w:autoSpaceDE w:val="0"/>
        <w:autoSpaceDN w:val="0"/>
        <w:adjustRightInd w:val="0"/>
        <w:jc w:val="both"/>
        <w:rPr>
          <w:rFonts w:ascii="Arial" w:eastAsia="Times New Roman" w:hAnsi="Arial" w:cs="Arial"/>
          <w:noProof w:val="0"/>
          <w:sz w:val="20"/>
          <w:szCs w:val="20"/>
          <w:lang w:eastAsia="cs-CZ"/>
        </w:rPr>
      </w:pPr>
    </w:p>
    <w:p w14:paraId="069543C2" w14:textId="77777777" w:rsidR="006E1A34" w:rsidRPr="0020149E" w:rsidRDefault="006E1A34" w:rsidP="006E1A34">
      <w:pPr>
        <w:suppressAutoHyphens/>
        <w:jc w:val="both"/>
        <w:rPr>
          <w:rFonts w:ascii="Arial" w:hAnsi="Arial" w:cs="Arial"/>
          <w:sz w:val="20"/>
          <w:szCs w:val="20"/>
          <w:lang w:eastAsia="ar-SA"/>
        </w:rPr>
      </w:pPr>
    </w:p>
    <w:p w14:paraId="3763AE65" w14:textId="4B144A3F"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26AF3CFB" w14:textId="223408A7" w:rsidR="001F798E" w:rsidRDefault="001F798E" w:rsidP="001B5F04">
      <w:pPr>
        <w:autoSpaceDE w:val="0"/>
        <w:autoSpaceDN w:val="0"/>
        <w:adjustRightInd w:val="0"/>
        <w:jc w:val="both"/>
        <w:rPr>
          <w:rFonts w:ascii="Arial" w:hAnsi="Arial" w:cs="Arial"/>
          <w:sz w:val="20"/>
          <w:szCs w:val="20"/>
        </w:rPr>
      </w:pP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47EDFA3A"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3069F7">
                <w:rPr>
                  <w:rFonts w:ascii="Arial" w:eastAsia="Times New Roman" w:hAnsi="Arial" w:cs="Arial"/>
                  <w:noProof w:val="0"/>
                  <w:color w:val="808080"/>
                  <w:sz w:val="20"/>
                  <w:szCs w:val="22"/>
                  <w:lang w:eastAsia="cs-CZ"/>
                </w:rPr>
                <w:t>1</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8B33A3"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67BCD"/>
    <w:multiLevelType w:val="hybridMultilevel"/>
    <w:tmpl w:val="7146EEAE"/>
    <w:lvl w:ilvl="0" w:tplc="61627DB0">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8"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1"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7"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8"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4"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30"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4"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5"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121FB2"/>
    <w:multiLevelType w:val="hybridMultilevel"/>
    <w:tmpl w:val="460A5668"/>
    <w:lvl w:ilvl="0" w:tplc="D162198A">
      <w:numFmt w:val="bullet"/>
      <w:lvlText w:val="-"/>
      <w:lvlJc w:val="left"/>
      <w:pPr>
        <w:ind w:left="720" w:hanging="360"/>
      </w:pPr>
      <w:rPr>
        <w:rFonts w:ascii="Arial" w:eastAsia="MS Mincho"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40" w15:restartNumberingAfterBreak="0">
    <w:nsid w:val="75D83B95"/>
    <w:multiLevelType w:val="hybridMultilevel"/>
    <w:tmpl w:val="F036CB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2"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9"/>
  </w:num>
  <w:num w:numId="2">
    <w:abstractNumId w:val="33"/>
  </w:num>
  <w:num w:numId="3">
    <w:abstractNumId w:val="9"/>
  </w:num>
  <w:num w:numId="4">
    <w:abstractNumId w:val="42"/>
  </w:num>
  <w:num w:numId="5">
    <w:abstractNumId w:val="41"/>
  </w:num>
  <w:num w:numId="6">
    <w:abstractNumId w:val="0"/>
  </w:num>
  <w:num w:numId="7">
    <w:abstractNumId w:val="14"/>
  </w:num>
  <w:num w:numId="8">
    <w:abstractNumId w:val="27"/>
  </w:num>
  <w:num w:numId="9">
    <w:abstractNumId w:val="10"/>
  </w:num>
  <w:num w:numId="10">
    <w:abstractNumId w:val="32"/>
  </w:num>
  <w:num w:numId="11">
    <w:abstractNumId w:val="17"/>
  </w:num>
  <w:num w:numId="12">
    <w:abstractNumId w:val="2"/>
  </w:num>
  <w:num w:numId="13">
    <w:abstractNumId w:val="15"/>
  </w:num>
  <w:num w:numId="14">
    <w:abstractNumId w:val="35"/>
  </w:num>
  <w:num w:numId="15">
    <w:abstractNumId w:val="28"/>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
  </w:num>
  <w:num w:numId="29">
    <w:abstractNumId w:val="18"/>
  </w:num>
  <w:num w:numId="30">
    <w:abstractNumId w:val="24"/>
  </w:num>
  <w:num w:numId="31">
    <w:abstractNumId w:val="18"/>
    <w:lvlOverride w:ilvl="0">
      <w:startOverride w:val="1"/>
    </w:lvlOverride>
    <w:lvlOverride w:ilvl="1"/>
    <w:lvlOverride w:ilvl="2"/>
    <w:lvlOverride w:ilvl="3"/>
    <w:lvlOverride w:ilvl="4"/>
    <w:lvlOverride w:ilvl="5"/>
    <w:lvlOverride w:ilvl="6"/>
    <w:lvlOverride w:ilvl="7"/>
    <w:lvlOverride w:ilvl="8"/>
  </w:num>
  <w:num w:numId="32">
    <w:abstractNumId w:val="5"/>
  </w:num>
  <w:num w:numId="33">
    <w:abstractNumId w:val="13"/>
  </w:num>
  <w:num w:numId="34">
    <w:abstractNumId w:val="4"/>
  </w:num>
  <w:num w:numId="35">
    <w:abstractNumId w:val="29"/>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5"/>
  </w:num>
  <w:num w:numId="39">
    <w:abstractNumId w:val="22"/>
  </w:num>
  <w:num w:numId="40">
    <w:abstractNumId w:val="31"/>
  </w:num>
  <w:num w:numId="41">
    <w:abstractNumId w:val="38"/>
  </w:num>
  <w:num w:numId="42">
    <w:abstractNumId w:val="30"/>
  </w:num>
  <w:num w:numId="43">
    <w:abstractNumId w:val="34"/>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11"/>
  </w:num>
  <w:num w:numId="47">
    <w:abstractNumId w:val="36"/>
  </w:num>
  <w:num w:numId="48">
    <w:abstractNumId w:val="40"/>
  </w:num>
  <w:num w:numId="49">
    <w:abstractNumId w:val="1"/>
  </w:num>
  <w:num w:numId="50">
    <w:abstractNumId w:val="3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hrGQuYFBCX0kK5mNwgCUQSNoCrxeqYyfiYUQCqslaruIUtoOpAbb+p2VnEcDDhYO/T3p6zOUqwfwGTM1+2Y1gg==" w:salt="uNj5SfcpXoeXrA04fyPwq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395"/>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193"/>
    <w:rsid w:val="002B35E9"/>
    <w:rsid w:val="002B387A"/>
    <w:rsid w:val="002B4F25"/>
    <w:rsid w:val="002B7FD1"/>
    <w:rsid w:val="002C3778"/>
    <w:rsid w:val="002C5B76"/>
    <w:rsid w:val="002C63A7"/>
    <w:rsid w:val="002C75F6"/>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069F7"/>
    <w:rsid w:val="00310602"/>
    <w:rsid w:val="003106F6"/>
    <w:rsid w:val="003117CB"/>
    <w:rsid w:val="00312604"/>
    <w:rsid w:val="00312915"/>
    <w:rsid w:val="003130B6"/>
    <w:rsid w:val="00313F1A"/>
    <w:rsid w:val="00316125"/>
    <w:rsid w:val="00316B0F"/>
    <w:rsid w:val="00316C41"/>
    <w:rsid w:val="00320561"/>
    <w:rsid w:val="00323E79"/>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68"/>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5A13"/>
    <w:rsid w:val="005E7A19"/>
    <w:rsid w:val="005E7DE2"/>
    <w:rsid w:val="005F317C"/>
    <w:rsid w:val="005F4664"/>
    <w:rsid w:val="005F7620"/>
    <w:rsid w:val="005F7D91"/>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B0733"/>
    <w:rsid w:val="008B1CD8"/>
    <w:rsid w:val="008B1D61"/>
    <w:rsid w:val="008B33A3"/>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35EE"/>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5141"/>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79D"/>
    <w:rsid w:val="00FA1C45"/>
    <w:rsid w:val="00FB0C0E"/>
    <w:rsid w:val="00FB535D"/>
    <w:rsid w:val="00FB66DF"/>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12.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7A1998"/>
    <w:rsid w:val="009166F3"/>
    <w:rsid w:val="00C4373A"/>
    <w:rsid w:val="00CE65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2A33AB"/>
    <w:rPr>
      <w:rFonts w:ascii="Arial" w:hAnsi="Arial"/>
      <w:color w:val="auto"/>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2891C-4B6C-4909-B3C6-053C1E429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1187</Words>
  <Characters>7494</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8664</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6</cp:revision>
  <cp:lastPrinted>2024-03-08T11:44:00Z</cp:lastPrinted>
  <dcterms:created xsi:type="dcterms:W3CDTF">2025-03-24T09:55:00Z</dcterms:created>
  <dcterms:modified xsi:type="dcterms:W3CDTF">2025-03-27T10:45:00Z</dcterms:modified>
</cp:coreProperties>
</file>