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Fín</w:t>
            </w:r>
            <w:r w:rsidR="002A0866">
              <w:rPr>
                <w:rFonts w:ascii="Arial" w:eastAsia="Calibri" w:hAnsi="Arial" w:cs="Arial"/>
                <w:sz w:val="20"/>
                <w:szCs w:val="22"/>
              </w:rPr>
              <w:t>ou</w:t>
            </w:r>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B656B">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2918C20A" w:rsidR="00B0410B" w:rsidRPr="005B656B" w:rsidRDefault="005B656B" w:rsidP="001027E1">
            <w:pPr>
              <w:spacing w:line="276" w:lineRule="auto"/>
              <w:rPr>
                <w:rFonts w:ascii="Arial" w:hAnsi="Arial" w:cs="Arial"/>
                <w:b/>
                <w:sz w:val="20"/>
                <w:szCs w:val="20"/>
              </w:rPr>
            </w:pPr>
            <w:r w:rsidRPr="005B656B">
              <w:rPr>
                <w:rFonts w:ascii="Arial" w:hAnsi="Arial" w:cs="Arial"/>
                <w:b/>
                <w:sz w:val="20"/>
                <w:szCs w:val="20"/>
              </w:rPr>
              <w:t>Nature Connect Dyje/Thaya, napojení odstaveného ramene D13</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16686D4" w:rsidR="00680271" w:rsidRPr="00271232" w:rsidRDefault="00C82969" w:rsidP="00B0410B">
            <w:pPr>
              <w:spacing w:line="276" w:lineRule="auto"/>
              <w:rPr>
                <w:rFonts w:ascii="Arial" w:hAnsi="Arial" w:cs="Arial"/>
                <w:color w:val="0000FF"/>
                <w:sz w:val="20"/>
                <w:u w:val="single"/>
              </w:rPr>
            </w:pPr>
            <w:r w:rsidRPr="00C82969">
              <w:rPr>
                <w:rFonts w:ascii="Arial" w:hAnsi="Arial" w:cs="Arial"/>
                <w:color w:val="0000FF"/>
                <w:sz w:val="20"/>
                <w:u w:val="single"/>
              </w:rPr>
              <w:t>https://zakazky.eagri.cz/contract_display_20300.html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noProof w:val="0"/>
          <w:sz w:val="20"/>
          <w:szCs w:val="22"/>
          <w:lang w:eastAsia="cs-CZ"/>
        </w:rPr>
      </w:pPr>
      <w:r>
        <w:rPr>
          <w:rFonts w:ascii="Arial" w:eastAsia="Times New Roman" w:hAnsi="Arial" w:cs="Arial"/>
          <w:b/>
          <w:bCs/>
          <w:noProof w:val="0"/>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noProof w:val="0"/>
          <w:sz w:val="20"/>
          <w:szCs w:val="22"/>
          <w:lang w:eastAsia="cs-CZ"/>
        </w:rPr>
        <w:t xml:space="preserve">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3977092A" w:rsidR="002A0866" w:rsidRPr="002A0866" w:rsidRDefault="002A0866" w:rsidP="002A0866">
      <w:pPr>
        <w:pStyle w:val="Psm"/>
        <w:numPr>
          <w:ilvl w:val="4"/>
          <w:numId w:val="6"/>
        </w:numPr>
        <w:rPr>
          <w:rFonts w:cs="Arial"/>
        </w:rPr>
      </w:pPr>
      <w:r w:rsidRPr="00CE1BB2">
        <w:rPr>
          <w:rFonts w:cs="Arial"/>
        </w:rPr>
        <w:t>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03DC2FA4"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5EEA7125"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271232">
        <w:rPr>
          <w:rFonts w:ascii="Arial" w:eastAsia="Times New Roman" w:hAnsi="Arial" w:cs="Arial"/>
          <w:noProof w:val="0"/>
          <w:sz w:val="20"/>
          <w:szCs w:val="22"/>
          <w:u w:val="single"/>
          <w:lang w:eastAsia="cs-CZ"/>
        </w:rPr>
        <w:t>účastník</w:t>
      </w:r>
      <w:r w:rsidRPr="00271232">
        <w:rPr>
          <w:rFonts w:ascii="Arial" w:eastAsia="Times New Roman" w:hAnsi="Arial" w:cs="Arial"/>
          <w:noProof w:val="0"/>
          <w:sz w:val="20"/>
          <w:szCs w:val="22"/>
          <w:u w:val="single"/>
          <w:lang w:eastAsia="cs-CZ"/>
        </w:rPr>
        <w:t xml:space="preserve"> kvalifikaci prokazuje.</w:t>
      </w:r>
    </w:p>
    <w:p w14:paraId="7DEB9F27" w14:textId="77777777" w:rsidR="00CF46E5" w:rsidRPr="00271232" w:rsidRDefault="00CF46E5" w:rsidP="00CF46E5">
      <w:pPr>
        <w:spacing w:before="120" w:after="120" w:line="276" w:lineRule="auto"/>
        <w:jc w:val="both"/>
        <w:rPr>
          <w:rFonts w:ascii="Arial" w:eastAsia="Calibri" w:hAnsi="Arial" w:cs="Arial"/>
          <w:sz w:val="20"/>
          <w:szCs w:val="22"/>
        </w:rPr>
      </w:pPr>
      <w:r w:rsidRPr="00271232">
        <w:rPr>
          <w:rFonts w:ascii="Arial" w:eastAsia="Calibri" w:hAnsi="Arial" w:cs="Arial"/>
          <w:sz w:val="20"/>
          <w:szCs w:val="22"/>
        </w:rPr>
        <w:t xml:space="preserve">což dokládá </w:t>
      </w:r>
      <w:r w:rsidR="00882BDB" w:rsidRPr="00271232">
        <w:rPr>
          <w:rFonts w:ascii="Arial" w:eastAsia="Calibri" w:hAnsi="Arial" w:cs="Arial"/>
          <w:sz w:val="20"/>
          <w:szCs w:val="22"/>
        </w:rPr>
        <w:t>výpisem z obchodního rejstříku, živnostenského rejstříku</w:t>
      </w:r>
      <w:r w:rsidR="00C654B6" w:rsidRPr="00271232">
        <w:rPr>
          <w:rFonts w:ascii="Arial" w:eastAsia="Calibri" w:hAnsi="Arial" w:cs="Arial"/>
          <w:sz w:val="20"/>
          <w:szCs w:val="22"/>
        </w:rPr>
        <w:t>, osvědčením o autorizaci</w:t>
      </w:r>
      <w:r w:rsidR="00882BDB" w:rsidRPr="00271232">
        <w:rPr>
          <w:rFonts w:ascii="Arial" w:eastAsia="Calibri" w:hAnsi="Arial" w:cs="Arial"/>
          <w:sz w:val="20"/>
          <w:szCs w:val="22"/>
        </w:rPr>
        <w:t xml:space="preserve"> nebo výpisem ze seznamu kvalifikovaných dodavatelů, který je přílohou tohoto formuláře nebo následujícími webovými odkazy (tj. internetovou adresou): </w:t>
      </w:r>
    </w:p>
    <w:p w14:paraId="53458A49"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url odkaz výpisu z obchodního rejstříku (viz </w:t>
          </w:r>
          <w:hyperlink r:id="rId8" w:history="1">
            <w:r w:rsidRPr="00271232">
              <w:rPr>
                <w:rStyle w:val="Hypertextovodkaz"/>
                <w:rFonts w:ascii="Arial" w:eastAsia="Calibri" w:hAnsi="Arial" w:cs="Arial"/>
                <w:sz w:val="20"/>
                <w:szCs w:val="22"/>
              </w:rPr>
              <w:t>https://justice.cz/</w:t>
            </w:r>
          </w:hyperlink>
          <w:r w:rsidRPr="00271232">
            <w:rPr>
              <w:rFonts w:ascii="Arial" w:eastAsia="Calibri" w:hAnsi="Arial" w:cs="Arial"/>
              <w:color w:val="808080"/>
              <w:sz w:val="20"/>
              <w:szCs w:val="22"/>
            </w:rPr>
            <w:t>)</w:t>
          </w:r>
        </w:sdtContent>
      </w:sdt>
    </w:p>
    <w:p w14:paraId="2DD6FABF"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živnostenský rejstřík: </w:t>
      </w:r>
      <w:sdt>
        <w:sdtPr>
          <w:rPr>
            <w:rFonts w:ascii="Arial" w:eastAsia="Calibri" w:hAnsi="Arial" w:cs="Arial"/>
            <w:sz w:val="20"/>
            <w:szCs w:val="22"/>
            <w:lang w:eastAsia="cs-CZ"/>
          </w:rPr>
          <w:id w:val="2015020735"/>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url odkaz výpisu ze živnostenského rejstříku (viz </w:t>
          </w:r>
          <w:hyperlink r:id="rId9" w:history="1">
            <w:r w:rsidRPr="00271232">
              <w:rPr>
                <w:rStyle w:val="Hypertextovodkaz"/>
                <w:rFonts w:ascii="Arial" w:eastAsia="Calibri" w:hAnsi="Arial" w:cs="Arial"/>
                <w:sz w:val="20"/>
                <w:szCs w:val="22"/>
              </w:rPr>
              <w:t>http://www.rzp.cz/</w:t>
            </w:r>
          </w:hyperlink>
          <w:r w:rsidRPr="00271232">
            <w:rPr>
              <w:rFonts w:ascii="Arial" w:eastAsia="Calibri" w:hAnsi="Arial" w:cs="Arial"/>
              <w:color w:val="808080"/>
              <w:sz w:val="20"/>
              <w:szCs w:val="22"/>
            </w:rPr>
            <w:t>)</w:t>
          </w:r>
        </w:sdtContent>
      </w:sdt>
    </w:p>
    <w:p w14:paraId="2B5E3E44" w14:textId="77777777" w:rsidR="00DC4A6B" w:rsidRPr="00271232" w:rsidRDefault="00DC4A6B" w:rsidP="001D783D">
      <w:pPr>
        <w:spacing w:before="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lastRenderedPageBreak/>
        <w:t xml:space="preserve">Odkaz na seznam autorizovaných inženýrů a techniků: </w:t>
      </w:r>
      <w:sdt>
        <w:sdtPr>
          <w:rPr>
            <w:rFonts w:ascii="Arial" w:eastAsia="Calibri" w:hAnsi="Arial" w:cs="Arial"/>
            <w:sz w:val="20"/>
            <w:szCs w:val="22"/>
            <w:lang w:eastAsia="cs-CZ"/>
          </w:rPr>
          <w:id w:val="-612447248"/>
          <w:placeholder>
            <w:docPart w:val="CE99ACC0332E4A48BF36815739F12FDE"/>
          </w:placeholder>
        </w:sdtPr>
        <w:sdtEndPr>
          <w:rPr>
            <w:color w:val="808080"/>
            <w:lang w:eastAsia="en-US"/>
          </w:rPr>
        </w:sdtEndPr>
        <w:sdtContent>
          <w:r w:rsidRPr="00271232">
            <w:rPr>
              <w:rFonts w:ascii="Arial" w:eastAsia="Calibri" w:hAnsi="Arial" w:cs="Arial"/>
              <w:color w:val="808080"/>
              <w:sz w:val="20"/>
              <w:szCs w:val="22"/>
            </w:rPr>
            <w:t xml:space="preserve">Uveďte url odkaz výpisu ze sezanmu autorizovaných inženýrů a techniků (viz </w:t>
          </w:r>
          <w:hyperlink r:id="rId10" w:history="1">
            <w:r w:rsidRPr="00271232">
              <w:rPr>
                <w:rStyle w:val="Hypertextovodkaz"/>
                <w:rFonts w:ascii="Arial" w:hAnsi="Arial" w:cs="Arial"/>
                <w:sz w:val="20"/>
              </w:rPr>
              <w:t>https://www.ckait.cz/autorizovane-osoby</w:t>
            </w:r>
          </w:hyperlink>
          <w:r w:rsidRPr="00271232">
            <w:rPr>
              <w:rFonts w:ascii="Arial" w:eastAsia="Calibri" w:hAnsi="Arial" w:cs="Arial"/>
              <w:color w:val="808080"/>
              <w:sz w:val="20"/>
              <w:szCs w:val="22"/>
            </w:rPr>
            <w:t>)</w:t>
          </w:r>
        </w:sdtContent>
      </w:sdt>
    </w:p>
    <w:p w14:paraId="0E2FCAFB" w14:textId="32C4C6E7" w:rsidR="005F1E2C" w:rsidRPr="00271232" w:rsidRDefault="00CF46E5" w:rsidP="00151C55">
      <w:pPr>
        <w:spacing w:before="120" w:line="276" w:lineRule="auto"/>
        <w:jc w:val="both"/>
        <w:rPr>
          <w:rStyle w:val="Hypertextovodkaz"/>
          <w:rFonts w:ascii="Arial" w:hAnsi="Arial" w:cs="Arial"/>
          <w:sz w:val="20"/>
        </w:rPr>
      </w:pPr>
      <w:r w:rsidRPr="00271232">
        <w:rPr>
          <w:rFonts w:ascii="Arial" w:eastAsia="Calibri" w:hAnsi="Arial" w:cs="Arial"/>
          <w:sz w:val="20"/>
          <w:szCs w:val="22"/>
          <w:lang w:eastAsia="cs-CZ"/>
        </w:rPr>
        <w:t xml:space="preserve">Odkaz na výpis ze seznamu kvalifikovaných dodavatelů: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u w:val="single"/>
            <w:lang w:eastAsia="en-US"/>
          </w:rPr>
        </w:sdtEndPr>
        <w:sdtContent>
          <w:r w:rsidRPr="00271232">
            <w:rPr>
              <w:rFonts w:ascii="Arial" w:eastAsia="Calibri" w:hAnsi="Arial" w:cs="Arial"/>
              <w:color w:val="808080"/>
              <w:sz w:val="20"/>
              <w:szCs w:val="22"/>
            </w:rPr>
            <w:t xml:space="preserve">Uveďte url odkaz výpisu ze seznamu kvalifikovaných dodavatelů (viz </w:t>
          </w:r>
          <w:hyperlink r:id="rId11" w:history="1">
            <w:r w:rsidRPr="00271232">
              <w:rPr>
                <w:rStyle w:val="Hypertextovodkaz"/>
                <w:rFonts w:ascii="Arial" w:eastAsia="Calibri" w:hAnsi="Arial" w:cs="Arial"/>
                <w:sz w:val="20"/>
                <w:szCs w:val="22"/>
              </w:rPr>
              <w:t>https://skd.nipez.cz/</w:t>
            </w:r>
          </w:hyperlink>
          <w:r w:rsidRPr="00271232">
            <w:rPr>
              <w:rStyle w:val="Hypertextovodkaz"/>
              <w:rFonts w:ascii="Arial" w:hAnsi="Arial" w:cs="Arial"/>
              <w:sz w:val="20"/>
            </w:rPr>
            <w:t>)</w:t>
          </w:r>
        </w:sdtContent>
      </w:sdt>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42CF18FA"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 dle § 78 zákona.</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3BFE3C2A"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bookmarkStart w:id="4" w:name="_Hlk174337769"/>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r w:rsidR="00DE3557" w:rsidRPr="00271232">
        <w:rPr>
          <w:rFonts w:ascii="Arial" w:eastAsia="Calibri" w:hAnsi="Arial" w:cs="Arial"/>
          <w:b/>
          <w:sz w:val="20"/>
          <w:szCs w:val="20"/>
        </w:rPr>
        <w:t>dle § 79 zákona</w:t>
      </w:r>
      <w:r w:rsidR="005B5E03">
        <w:rPr>
          <w:rFonts w:ascii="Arial" w:eastAsia="Calibri" w:hAnsi="Arial" w:cs="Arial"/>
          <w:b/>
          <w:sz w:val="20"/>
          <w:szCs w:val="20"/>
        </w:rPr>
        <w:t xml:space="preserve"> </w:t>
      </w:r>
    </w:p>
    <w:p w14:paraId="2495C2DE" w14:textId="478FB084"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alespoň obsahuje:</w:t>
      </w:r>
    </w:p>
    <w:p w14:paraId="2061853C" w14:textId="7F560BD6" w:rsidR="00252076" w:rsidRPr="00B55EC1" w:rsidRDefault="00252076" w:rsidP="00252076">
      <w:pPr>
        <w:numPr>
          <w:ilvl w:val="0"/>
          <w:numId w:val="8"/>
        </w:numPr>
        <w:jc w:val="both"/>
        <w:rPr>
          <w:rFonts w:ascii="Arial" w:eastAsia="Calibri" w:hAnsi="Arial" w:cs="Arial"/>
          <w:b/>
          <w:sz w:val="20"/>
          <w:szCs w:val="22"/>
        </w:rPr>
      </w:pPr>
      <w:r w:rsidRPr="00B55EC1">
        <w:rPr>
          <w:rFonts w:ascii="Arial" w:eastAsia="Calibri" w:hAnsi="Arial" w:cs="Arial"/>
          <w:b/>
          <w:sz w:val="20"/>
          <w:szCs w:val="22"/>
        </w:rPr>
        <w:t>jednu zakázku</w:t>
      </w:r>
      <w:r w:rsidRPr="00B55EC1">
        <w:rPr>
          <w:rFonts w:ascii="Arial" w:eastAsia="Calibri" w:hAnsi="Arial" w:cs="Arial"/>
          <w:sz w:val="20"/>
          <w:szCs w:val="22"/>
        </w:rPr>
        <w:t xml:space="preserve">, </w:t>
      </w:r>
      <w:r w:rsidR="004B4306" w:rsidRPr="00B55EC1">
        <w:rPr>
          <w:rFonts w:ascii="Arial" w:eastAsia="Calibri" w:hAnsi="Arial" w:cs="Arial"/>
          <w:sz w:val="20"/>
          <w:szCs w:val="22"/>
        </w:rPr>
        <w:t>jejíž</w:t>
      </w:r>
      <w:r w:rsidR="003A6244" w:rsidRPr="00B55EC1">
        <w:rPr>
          <w:rFonts w:ascii="Arial" w:eastAsia="Calibri" w:hAnsi="Arial" w:cs="Arial"/>
          <w:sz w:val="20"/>
          <w:szCs w:val="22"/>
        </w:rPr>
        <w:t xml:space="preserve"> předmětem</w:t>
      </w:r>
      <w:r w:rsidR="004B4306" w:rsidRPr="00B55EC1">
        <w:rPr>
          <w:rFonts w:ascii="Arial" w:eastAsia="Calibri" w:hAnsi="Arial" w:cs="Arial"/>
          <w:sz w:val="20"/>
          <w:szCs w:val="22"/>
        </w:rPr>
        <w:t xml:space="preserve"> bylo provádění </w:t>
      </w:r>
      <w:r w:rsidR="007658BB" w:rsidRPr="00B55EC1">
        <w:rPr>
          <w:rFonts w:ascii="Arial" w:eastAsia="Calibri" w:hAnsi="Arial" w:cs="Arial"/>
          <w:sz w:val="20"/>
          <w:szCs w:val="22"/>
        </w:rPr>
        <w:t xml:space="preserve">výstavby nebo </w:t>
      </w:r>
      <w:r w:rsidR="004B4306" w:rsidRPr="00B55EC1">
        <w:rPr>
          <w:rFonts w:ascii="Arial" w:eastAsia="Calibri" w:hAnsi="Arial" w:cs="Arial"/>
          <w:sz w:val="20"/>
          <w:szCs w:val="22"/>
        </w:rPr>
        <w:t xml:space="preserve">opravy koryta vodního toku, </w:t>
      </w:r>
      <w:r w:rsidR="00B01053" w:rsidRPr="00B55EC1">
        <w:rPr>
          <w:rFonts w:ascii="Arial" w:eastAsia="Calibri" w:hAnsi="Arial" w:cs="Arial"/>
          <w:sz w:val="20"/>
          <w:szCs w:val="22"/>
        </w:rPr>
        <w:br/>
      </w:r>
      <w:r w:rsidR="004B4306" w:rsidRPr="00B55EC1">
        <w:rPr>
          <w:rFonts w:ascii="Arial" w:eastAsia="Calibri" w:hAnsi="Arial" w:cs="Arial"/>
          <w:sz w:val="20"/>
          <w:szCs w:val="22"/>
        </w:rPr>
        <w:t xml:space="preserve">v min. hodnotě zakázky </w:t>
      </w:r>
      <w:r w:rsidR="007658BB" w:rsidRPr="00B55EC1">
        <w:rPr>
          <w:rFonts w:ascii="Arial" w:eastAsia="Calibri" w:hAnsi="Arial" w:cs="Arial"/>
          <w:sz w:val="20"/>
          <w:szCs w:val="22"/>
        </w:rPr>
        <w:t>10</w:t>
      </w:r>
      <w:r w:rsidR="004B4306" w:rsidRPr="00B55EC1">
        <w:rPr>
          <w:rFonts w:ascii="Arial" w:eastAsia="Calibri" w:hAnsi="Arial" w:cs="Arial"/>
          <w:sz w:val="20"/>
          <w:szCs w:val="22"/>
        </w:rPr>
        <w:t xml:space="preserve"> 000 000 Kč bez DPH</w:t>
      </w:r>
      <w:r w:rsidR="007658BB" w:rsidRPr="00B55EC1">
        <w:rPr>
          <w:rFonts w:ascii="Arial" w:eastAsia="Calibri" w:hAnsi="Arial" w:cs="Arial"/>
          <w:sz w:val="20"/>
          <w:szCs w:val="22"/>
        </w:rPr>
        <w:t>;</w:t>
      </w:r>
    </w:p>
    <w:p w14:paraId="77A98471" w14:textId="77777777" w:rsidR="0064240F" w:rsidRPr="00B55EC1" w:rsidRDefault="0064240F" w:rsidP="0064240F">
      <w:pPr>
        <w:pStyle w:val="Odstavecseseznamem"/>
        <w:rPr>
          <w:rFonts w:ascii="Arial" w:eastAsia="Calibri" w:hAnsi="Arial" w:cs="Arial"/>
          <w:b/>
          <w:sz w:val="20"/>
          <w:szCs w:val="22"/>
        </w:rPr>
      </w:pPr>
    </w:p>
    <w:p w14:paraId="1500D2EE" w14:textId="7C483A04" w:rsidR="008445E1" w:rsidRPr="00B55EC1" w:rsidRDefault="0064240F" w:rsidP="008445E1">
      <w:pPr>
        <w:numPr>
          <w:ilvl w:val="0"/>
          <w:numId w:val="8"/>
        </w:numPr>
        <w:jc w:val="both"/>
        <w:rPr>
          <w:rFonts w:ascii="Arial" w:eastAsia="Calibri" w:hAnsi="Arial" w:cs="Arial"/>
          <w:b/>
          <w:sz w:val="20"/>
          <w:szCs w:val="22"/>
        </w:rPr>
      </w:pPr>
      <w:r w:rsidRPr="00B55EC1">
        <w:rPr>
          <w:rFonts w:ascii="Arial" w:eastAsia="Calibri" w:hAnsi="Arial" w:cs="Arial"/>
          <w:b/>
          <w:sz w:val="20"/>
          <w:szCs w:val="22"/>
        </w:rPr>
        <w:t>jednu zakázku</w:t>
      </w:r>
      <w:r w:rsidRPr="00B55EC1">
        <w:rPr>
          <w:rFonts w:ascii="Arial" w:eastAsia="Calibri" w:hAnsi="Arial" w:cs="Arial"/>
          <w:sz w:val="20"/>
          <w:szCs w:val="22"/>
        </w:rPr>
        <w:t xml:space="preserve">, </w:t>
      </w:r>
      <w:r w:rsidRPr="00B55EC1">
        <w:rPr>
          <w:rFonts w:ascii="Arial" w:hAnsi="Arial" w:cs="Arial"/>
          <w:bCs/>
          <w:sz w:val="20"/>
          <w:szCs w:val="20"/>
        </w:rPr>
        <w:t>jejíž předmětem byl</w:t>
      </w:r>
      <w:r w:rsidR="008445E1" w:rsidRPr="00B55EC1">
        <w:rPr>
          <w:rFonts w:ascii="Arial" w:hAnsi="Arial" w:cs="Arial"/>
          <w:bCs/>
          <w:sz w:val="20"/>
          <w:szCs w:val="20"/>
        </w:rPr>
        <w:t>a</w:t>
      </w:r>
      <w:r w:rsidRPr="00B55EC1">
        <w:rPr>
          <w:rFonts w:ascii="Arial" w:hAnsi="Arial" w:cs="Arial"/>
          <w:bCs/>
          <w:sz w:val="20"/>
          <w:szCs w:val="20"/>
        </w:rPr>
        <w:t xml:space="preserve"> </w:t>
      </w:r>
      <w:r w:rsidR="008445E1" w:rsidRPr="00B55EC1">
        <w:rPr>
          <w:rFonts w:ascii="Arial" w:eastAsia="Calibri" w:hAnsi="Arial" w:cs="Arial"/>
          <w:sz w:val="20"/>
          <w:szCs w:val="22"/>
        </w:rPr>
        <w:t>revitalizace vodního toku, v min. hodnotě zakázky 5 000 000 Kč bez DPH;</w:t>
      </w:r>
    </w:p>
    <w:p w14:paraId="53E79E1C" w14:textId="532030E6" w:rsidR="0064240F" w:rsidRPr="00BC36AA" w:rsidRDefault="0064240F" w:rsidP="008445E1">
      <w:pPr>
        <w:ind w:left="720"/>
        <w:jc w:val="both"/>
        <w:rPr>
          <w:rFonts w:ascii="Arial" w:eastAsia="Calibri" w:hAnsi="Arial" w:cs="Arial"/>
          <w:b/>
          <w:sz w:val="20"/>
          <w:szCs w:val="22"/>
          <w:highlight w:val="yellow"/>
        </w:rPr>
      </w:pPr>
    </w:p>
    <w:p w14:paraId="1B0D86B1" w14:textId="63B1E8FB" w:rsidR="008445E1" w:rsidRPr="00685C4B" w:rsidRDefault="008445E1" w:rsidP="008445E1">
      <w:pPr>
        <w:ind w:right="-17"/>
        <w:jc w:val="both"/>
        <w:rPr>
          <w:rFonts w:ascii="Arial" w:hAnsi="Arial" w:cs="Arial"/>
          <w:sz w:val="20"/>
          <w:szCs w:val="20"/>
        </w:rPr>
      </w:pPr>
      <w:r w:rsidRPr="00685C4B">
        <w:rPr>
          <w:rFonts w:ascii="Arial" w:hAnsi="Arial" w:cs="Arial"/>
          <w:sz w:val="20"/>
          <w:szCs w:val="20"/>
        </w:rPr>
        <w:t xml:space="preserve">Revitalizací vodního toku se pro potřeby tohoto </w:t>
      </w:r>
      <w:r>
        <w:rPr>
          <w:rFonts w:ascii="Arial" w:hAnsi="Arial" w:cs="Arial"/>
          <w:sz w:val="20"/>
          <w:szCs w:val="20"/>
        </w:rPr>
        <w:t>zadávacího</w:t>
      </w:r>
      <w:r w:rsidRPr="00685C4B">
        <w:rPr>
          <w:rFonts w:ascii="Arial" w:hAnsi="Arial" w:cs="Arial"/>
          <w:sz w:val="20"/>
          <w:szCs w:val="20"/>
        </w:rPr>
        <w:t xml:space="preserve"> řízení rozumí:</w:t>
      </w:r>
    </w:p>
    <w:p w14:paraId="70F4F543" w14:textId="77777777" w:rsidR="008445E1" w:rsidRPr="00685C4B" w:rsidRDefault="008445E1" w:rsidP="008445E1">
      <w:pPr>
        <w:pStyle w:val="Odstavecseseznamem"/>
        <w:numPr>
          <w:ilvl w:val="0"/>
          <w:numId w:val="15"/>
        </w:numPr>
        <w:ind w:right="-17"/>
        <w:contextualSpacing/>
        <w:jc w:val="both"/>
        <w:rPr>
          <w:rFonts w:ascii="Arial" w:hAnsi="Arial" w:cs="Arial"/>
          <w:sz w:val="20"/>
          <w:szCs w:val="20"/>
        </w:rPr>
      </w:pPr>
      <w:r w:rsidRPr="00685C4B">
        <w:rPr>
          <w:rFonts w:ascii="Arial" w:hAnsi="Arial" w:cs="Arial"/>
          <w:sz w:val="20"/>
          <w:szCs w:val="20"/>
        </w:rPr>
        <w:t>obnova v minulosti nevhodně technicky upravených koryt vodních toků směrem k původnímu, přírodě blízkému stavu nebo jejich vytvoření ve vhodně zvolené náhradní trase</w:t>
      </w:r>
    </w:p>
    <w:p w14:paraId="0071F7B1" w14:textId="77777777" w:rsidR="008445E1" w:rsidRPr="00685C4B" w:rsidRDefault="008445E1" w:rsidP="008445E1">
      <w:pPr>
        <w:pStyle w:val="Odstavecseseznamem"/>
        <w:numPr>
          <w:ilvl w:val="0"/>
          <w:numId w:val="15"/>
        </w:numPr>
        <w:ind w:right="-17"/>
        <w:contextualSpacing/>
        <w:jc w:val="both"/>
        <w:rPr>
          <w:rFonts w:ascii="Arial" w:hAnsi="Arial" w:cs="Arial"/>
          <w:sz w:val="20"/>
          <w:szCs w:val="20"/>
        </w:rPr>
      </w:pPr>
      <w:r w:rsidRPr="00685C4B">
        <w:rPr>
          <w:rFonts w:ascii="Arial" w:hAnsi="Arial" w:cs="Arial"/>
          <w:sz w:val="20"/>
          <w:szCs w:val="20"/>
        </w:rPr>
        <w:t>resp. zásah do vodního toku a jeho nivy, jehož cílem je přiblížit koryto parametrům původního přirozeného toku (definice dle ČSN 75 2101)</w:t>
      </w:r>
    </w:p>
    <w:p w14:paraId="2F37E797" w14:textId="77777777" w:rsidR="008445E1" w:rsidRPr="00685C4B" w:rsidRDefault="008445E1" w:rsidP="008445E1">
      <w:pPr>
        <w:pStyle w:val="Odstavecseseznamem"/>
        <w:ind w:right="-17"/>
        <w:jc w:val="both"/>
        <w:rPr>
          <w:rFonts w:ascii="Arial" w:hAnsi="Arial" w:cs="Arial"/>
          <w:sz w:val="20"/>
          <w:szCs w:val="20"/>
        </w:rPr>
      </w:pPr>
    </w:p>
    <w:p w14:paraId="0EBC5EBB" w14:textId="77777777" w:rsidR="008445E1" w:rsidRPr="00685C4B" w:rsidRDefault="008445E1" w:rsidP="008445E1">
      <w:pPr>
        <w:ind w:right="-17"/>
        <w:jc w:val="both"/>
        <w:rPr>
          <w:rFonts w:ascii="Arial" w:hAnsi="Arial" w:cs="Arial"/>
          <w:sz w:val="20"/>
          <w:szCs w:val="20"/>
        </w:rPr>
      </w:pPr>
      <w:r w:rsidRPr="00685C4B">
        <w:rPr>
          <w:rFonts w:ascii="Arial" w:hAnsi="Arial" w:cs="Arial"/>
          <w:sz w:val="20"/>
          <w:szCs w:val="20"/>
        </w:rPr>
        <w:t>Revitalizační opatření musí sledovat některý z následujících cílů:</w:t>
      </w:r>
    </w:p>
    <w:p w14:paraId="6B8AE6DD" w14:textId="77777777" w:rsidR="008445E1" w:rsidRPr="00685C4B" w:rsidRDefault="008445E1" w:rsidP="008445E1">
      <w:pPr>
        <w:numPr>
          <w:ilvl w:val="0"/>
          <w:numId w:val="16"/>
        </w:numPr>
        <w:shd w:val="clear" w:color="auto" w:fill="FFFFFF"/>
        <w:spacing w:line="234" w:lineRule="atLeast"/>
        <w:jc w:val="both"/>
        <w:rPr>
          <w:rFonts w:ascii="Arial" w:hAnsi="Arial" w:cs="Arial"/>
          <w:sz w:val="20"/>
          <w:szCs w:val="20"/>
        </w:rPr>
      </w:pPr>
      <w:r w:rsidRPr="00685C4B">
        <w:rPr>
          <w:rFonts w:ascii="Arial" w:hAnsi="Arial" w:cs="Arial"/>
          <w:sz w:val="20"/>
          <w:szCs w:val="20"/>
        </w:rPr>
        <w:t>Obnovení přirozeně velkého prostorového rozsahu koryta vodního toku, říčního pásu a přirozeně zaplavitelné nivy, včetně tvorby a podpory iniciačních opatření</w:t>
      </w:r>
    </w:p>
    <w:p w14:paraId="4AC793F3" w14:textId="77777777" w:rsidR="008445E1" w:rsidRPr="00685C4B" w:rsidRDefault="008445E1" w:rsidP="008445E1">
      <w:pPr>
        <w:numPr>
          <w:ilvl w:val="0"/>
          <w:numId w:val="16"/>
        </w:numPr>
        <w:shd w:val="clear" w:color="auto" w:fill="FFFFFF"/>
        <w:spacing w:line="234" w:lineRule="atLeast"/>
        <w:jc w:val="both"/>
        <w:rPr>
          <w:rFonts w:ascii="Arial" w:hAnsi="Arial" w:cs="Arial"/>
          <w:sz w:val="20"/>
          <w:szCs w:val="20"/>
        </w:rPr>
      </w:pPr>
      <w:r w:rsidRPr="00685C4B">
        <w:rPr>
          <w:rFonts w:ascii="Arial" w:hAnsi="Arial" w:cs="Arial"/>
          <w:sz w:val="20"/>
          <w:szCs w:val="20"/>
        </w:rPr>
        <w:t xml:space="preserve">Vytvoření koryta přirozených (morfologicky věrných) tvarů, přirozeně mělkého, velké členitosti </w:t>
      </w:r>
      <w:r>
        <w:rPr>
          <w:rFonts w:ascii="Arial" w:hAnsi="Arial" w:cs="Arial"/>
          <w:sz w:val="20"/>
          <w:szCs w:val="20"/>
        </w:rPr>
        <w:br/>
      </w:r>
      <w:r w:rsidRPr="00685C4B">
        <w:rPr>
          <w:rFonts w:ascii="Arial" w:hAnsi="Arial" w:cs="Arial"/>
          <w:sz w:val="20"/>
          <w:szCs w:val="20"/>
        </w:rPr>
        <w:t>a přirozeně malé průtočné kapacity, včetně napojování říčních ramen a odstavených meandrů</w:t>
      </w:r>
    </w:p>
    <w:p w14:paraId="6583A379" w14:textId="77777777" w:rsidR="008445E1" w:rsidRPr="00685C4B" w:rsidRDefault="008445E1" w:rsidP="008445E1">
      <w:pPr>
        <w:numPr>
          <w:ilvl w:val="0"/>
          <w:numId w:val="16"/>
        </w:numPr>
        <w:shd w:val="clear" w:color="auto" w:fill="FFFFFF"/>
        <w:spacing w:line="234" w:lineRule="atLeast"/>
        <w:jc w:val="both"/>
        <w:rPr>
          <w:rFonts w:ascii="Arial" w:hAnsi="Arial" w:cs="Arial"/>
          <w:sz w:val="20"/>
          <w:szCs w:val="20"/>
        </w:rPr>
      </w:pPr>
      <w:r w:rsidRPr="00685C4B">
        <w:rPr>
          <w:rFonts w:ascii="Arial" w:hAnsi="Arial" w:cs="Arial"/>
          <w:sz w:val="20"/>
          <w:szCs w:val="20"/>
        </w:rPr>
        <w:t>Obnovení přirozené migrační prostupnosti pro vodní živočichy, tedy odstraňování migračních překážek a budování technických či přírodních opatřeních pro jejich migraci</w:t>
      </w:r>
    </w:p>
    <w:p w14:paraId="06233CC4" w14:textId="77777777" w:rsidR="008445E1" w:rsidRPr="00685C4B" w:rsidRDefault="008445E1" w:rsidP="008445E1">
      <w:pPr>
        <w:numPr>
          <w:ilvl w:val="0"/>
          <w:numId w:val="16"/>
        </w:numPr>
        <w:shd w:val="clear" w:color="auto" w:fill="FFFFFF"/>
        <w:spacing w:line="234" w:lineRule="atLeast"/>
        <w:jc w:val="both"/>
        <w:rPr>
          <w:rFonts w:ascii="Arial" w:hAnsi="Arial" w:cs="Arial"/>
          <w:sz w:val="20"/>
          <w:szCs w:val="20"/>
        </w:rPr>
      </w:pPr>
      <w:r w:rsidRPr="00685C4B">
        <w:rPr>
          <w:rFonts w:ascii="Arial" w:hAnsi="Arial" w:cs="Arial"/>
          <w:sz w:val="20"/>
          <w:szCs w:val="20"/>
        </w:rPr>
        <w:t>Výsadba a vytvoření podmínek pro rozvoj přirozených břehových a doprovodných porostů</w:t>
      </w:r>
    </w:p>
    <w:p w14:paraId="10DEDC96" w14:textId="77777777" w:rsidR="008445E1" w:rsidRPr="00685C4B" w:rsidRDefault="008445E1" w:rsidP="008445E1">
      <w:pPr>
        <w:pStyle w:val="Odstavecseseznamem"/>
        <w:numPr>
          <w:ilvl w:val="0"/>
          <w:numId w:val="16"/>
        </w:numPr>
        <w:autoSpaceDE w:val="0"/>
        <w:autoSpaceDN w:val="0"/>
        <w:contextualSpacing/>
        <w:jc w:val="both"/>
        <w:rPr>
          <w:rFonts w:ascii="Arial" w:hAnsi="Arial" w:cs="Arial"/>
          <w:sz w:val="20"/>
          <w:szCs w:val="20"/>
        </w:rPr>
      </w:pPr>
      <w:r w:rsidRPr="00685C4B">
        <w:rPr>
          <w:rFonts w:ascii="Arial" w:hAnsi="Arial" w:cs="Arial"/>
          <w:sz w:val="20"/>
          <w:szCs w:val="20"/>
        </w:rPr>
        <w:t xml:space="preserve">Přírodě blízká protipovodňová opatření na tocích a v nivě včetně zastavěného území, v souladu s metodikou odboru ochrany vod, která stanovuje postup komplexního řešení protipovodňové </w:t>
      </w:r>
      <w:r>
        <w:rPr>
          <w:rFonts w:ascii="Arial" w:hAnsi="Arial" w:cs="Arial"/>
          <w:sz w:val="20"/>
          <w:szCs w:val="20"/>
        </w:rPr>
        <w:br/>
      </w:r>
      <w:r w:rsidRPr="00685C4B">
        <w:rPr>
          <w:rFonts w:ascii="Arial" w:hAnsi="Arial" w:cs="Arial"/>
          <w:sz w:val="20"/>
          <w:szCs w:val="20"/>
        </w:rPr>
        <w:t>a protierozní ochrany pomocí přírodě blízkých opatření. (Věstník MŽP ČR 2008-11)</w:t>
      </w:r>
    </w:p>
    <w:p w14:paraId="50C10E81" w14:textId="77777777" w:rsidR="008445E1" w:rsidRPr="00685C4B" w:rsidRDefault="008445E1" w:rsidP="008445E1">
      <w:pPr>
        <w:ind w:left="720" w:right="-17"/>
        <w:jc w:val="both"/>
        <w:rPr>
          <w:rFonts w:ascii="Arial" w:hAnsi="Arial" w:cs="Arial"/>
          <w:sz w:val="20"/>
          <w:szCs w:val="20"/>
        </w:rPr>
      </w:pPr>
    </w:p>
    <w:p w14:paraId="1956448E" w14:textId="77777777" w:rsidR="008445E1" w:rsidRPr="00685C4B" w:rsidRDefault="008445E1" w:rsidP="008445E1">
      <w:pPr>
        <w:ind w:right="-17"/>
        <w:jc w:val="both"/>
        <w:rPr>
          <w:rFonts w:ascii="Arial" w:hAnsi="Arial" w:cs="Arial"/>
          <w:sz w:val="20"/>
          <w:szCs w:val="20"/>
        </w:rPr>
      </w:pPr>
      <w:r w:rsidRPr="00685C4B">
        <w:rPr>
          <w:rFonts w:ascii="Arial" w:hAnsi="Arial" w:cs="Arial"/>
          <w:sz w:val="20"/>
          <w:szCs w:val="20"/>
        </w:rPr>
        <w:t>V případě, že jsou součástí stavby opatření, které nejsou v přímé souvislosti s revitalizačními cíly, ale jsou ve funkčním celku s revitalizační stavbou, je možné je započítat do celkové hodnoty stavby požadované ve výběrovém řízení do výše 20% celkových nákladů stavby. V případě přírodě blízkých protipovodňových opatření se připouští tento podíl ve výši 40% z celkových nákladů stavby.</w:t>
      </w:r>
    </w:p>
    <w:p w14:paraId="69435503" w14:textId="3BC42BAC" w:rsidR="007658BB" w:rsidRDefault="007658BB" w:rsidP="008445E1">
      <w:pPr>
        <w:rPr>
          <w:rFonts w:ascii="Arial" w:eastAsia="Calibri" w:hAnsi="Arial" w:cs="Arial"/>
          <w:b/>
          <w:sz w:val="20"/>
          <w:szCs w:val="22"/>
        </w:rPr>
      </w:pPr>
    </w:p>
    <w:p w14:paraId="6FCC4A43" w14:textId="43AFB12F" w:rsidR="00012B28" w:rsidRPr="00012B28" w:rsidRDefault="00012B28" w:rsidP="008445E1">
      <w:pPr>
        <w:rPr>
          <w:rFonts w:ascii="Arial" w:eastAsia="Calibri" w:hAnsi="Arial" w:cs="Arial"/>
          <w:b/>
          <w:sz w:val="20"/>
          <w:szCs w:val="22"/>
          <w:highlight w:val="green"/>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7EE71B46" w14:textId="21D7F8B7" w:rsidR="004944F1" w:rsidRDefault="00C47A62" w:rsidP="00C47A62">
      <w:pPr>
        <w:rPr>
          <w:rFonts w:ascii="Arial" w:hAnsi="Arial" w:cs="Arial"/>
          <w:iCs/>
          <w:sz w:val="20"/>
          <w:szCs w:val="20"/>
        </w:rPr>
      </w:pPr>
      <w:r>
        <w:t> </w:t>
      </w:r>
      <w:bookmarkEnd w:id="4"/>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shd w:val="clear" w:color="auto" w:fill="auto"/>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noProof w:val="0"/>
                    <w:sz w:val="20"/>
                    <w:szCs w:val="20"/>
                    <w:lang w:eastAsia="cs-CZ"/>
                  </w:rPr>
                </w:pPr>
                <w:r w:rsidRPr="00E23233">
                  <w:rPr>
                    <w:rFonts w:ascii="Arial" w:eastAsia="Times New Roman" w:hAnsi="Arial" w:cs="Arial"/>
                    <w:b/>
                    <w:noProof w:val="0"/>
                    <w:sz w:val="20"/>
                    <w:szCs w:val="20"/>
                    <w:lang w:eastAsia="cs-CZ"/>
                  </w:rPr>
                  <w:t>Významná zakázka č. 1</w:t>
                </w:r>
              </w:p>
            </w:tc>
          </w:tr>
          <w:tr w:rsidR="00B0410B" w:rsidRPr="00E23233" w14:paraId="687A22C4" w14:textId="77777777" w:rsidTr="004944F1">
            <w:trPr>
              <w:trHeight w:val="340"/>
            </w:trPr>
            <w:tc>
              <w:tcPr>
                <w:tcW w:w="9185" w:type="dxa"/>
                <w:gridSpan w:val="2"/>
                <w:shd w:val="clear" w:color="auto" w:fill="auto"/>
                <w:vAlign w:val="center"/>
              </w:tcPr>
              <w:p w14:paraId="2F4E4357"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b/>
                    <w:noProof w:val="0"/>
                    <w:sz w:val="20"/>
                    <w:szCs w:val="20"/>
                    <w:lang w:eastAsia="cs-CZ"/>
                  </w:rPr>
                  <w:t>Identifikační údaje objednatele</w:t>
                </w:r>
              </w:p>
            </w:tc>
          </w:tr>
          <w:tr w:rsidR="00B0410B" w:rsidRPr="00E23233" w14:paraId="4FFC6FC0" w14:textId="77777777" w:rsidTr="00D20E53">
            <w:trPr>
              <w:trHeight w:val="340"/>
            </w:trPr>
            <w:tc>
              <w:tcPr>
                <w:tcW w:w="3402" w:type="dxa"/>
                <w:shd w:val="clear" w:color="auto" w:fill="auto"/>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obchodní firmu / název</w:t>
                </w:r>
              </w:p>
            </w:tc>
          </w:tr>
          <w:tr w:rsidR="00B0410B" w:rsidRPr="00E23233" w14:paraId="76DC2C91" w14:textId="77777777" w:rsidTr="00D20E53">
            <w:trPr>
              <w:trHeight w:val="340"/>
            </w:trPr>
            <w:tc>
              <w:tcPr>
                <w:tcW w:w="3402" w:type="dxa"/>
                <w:shd w:val="clear" w:color="auto" w:fill="auto"/>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sídlo</w:t>
                </w:r>
              </w:p>
            </w:tc>
          </w:tr>
          <w:tr w:rsidR="00B0410B" w:rsidRPr="00E23233" w14:paraId="3B962830" w14:textId="77777777" w:rsidTr="00D20E53">
            <w:trPr>
              <w:trHeight w:val="340"/>
            </w:trPr>
            <w:tc>
              <w:tcPr>
                <w:tcW w:w="3402" w:type="dxa"/>
                <w:shd w:val="clear" w:color="auto" w:fill="auto"/>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IČO</w:t>
                </w:r>
              </w:p>
            </w:tc>
          </w:tr>
          <w:tr w:rsidR="00B0410B" w:rsidRPr="00E23233" w14:paraId="15DB7B48" w14:textId="77777777" w:rsidTr="00D20E53">
            <w:trPr>
              <w:trHeight w:val="340"/>
            </w:trPr>
            <w:tc>
              <w:tcPr>
                <w:tcW w:w="3402" w:type="dxa"/>
                <w:shd w:val="clear" w:color="auto" w:fill="auto"/>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shd w:val="clear" w:color="auto" w:fill="auto"/>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shd w:val="clear" w:color="auto" w:fill="auto"/>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shd w:val="clear" w:color="auto" w:fill="auto"/>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shd w:val="clear" w:color="auto" w:fill="auto"/>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shd w:val="clear" w:color="auto" w:fill="auto"/>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lastRenderedPageBreak/>
                  <w:t>Cena zakázky v Kč bez DPH:</w:t>
                </w:r>
              </w:p>
            </w:tc>
            <w:tc>
              <w:tcPr>
                <w:tcW w:w="5783" w:type="dxa"/>
                <w:shd w:val="clear" w:color="auto" w:fill="auto"/>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shd w:val="clear" w:color="auto" w:fill="auto"/>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shd w:val="clear" w:color="auto" w:fill="auto"/>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noProof w:val="0"/>
                    <w:sz w:val="20"/>
                    <w:szCs w:val="20"/>
                    <w:lang w:eastAsia="cs-CZ"/>
                  </w:rPr>
                </w:pPr>
                <w:r w:rsidRPr="00E23233">
                  <w:rPr>
                    <w:rFonts w:ascii="Arial" w:eastAsia="Times New Roman" w:hAnsi="Arial" w:cs="Arial"/>
                    <w:b/>
                    <w:noProof w:val="0"/>
                    <w:sz w:val="20"/>
                    <w:szCs w:val="20"/>
                    <w:lang w:eastAsia="cs-CZ"/>
                  </w:rPr>
                  <w:t>Významná zakázka č. 2</w:t>
                </w:r>
              </w:p>
            </w:tc>
          </w:tr>
          <w:tr w:rsidR="00E16E3D" w:rsidRPr="00E23233" w14:paraId="334D8D41" w14:textId="77777777" w:rsidTr="00FE18E0">
            <w:trPr>
              <w:trHeight w:val="340"/>
            </w:trPr>
            <w:tc>
              <w:tcPr>
                <w:tcW w:w="9184" w:type="dxa"/>
                <w:gridSpan w:val="2"/>
                <w:shd w:val="clear" w:color="auto" w:fill="auto"/>
                <w:vAlign w:val="center"/>
              </w:tcPr>
              <w:p w14:paraId="571A9EDE"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b/>
                    <w:noProof w:val="0"/>
                    <w:sz w:val="20"/>
                    <w:szCs w:val="20"/>
                    <w:lang w:eastAsia="cs-CZ"/>
                  </w:rPr>
                  <w:t>Identifikační údaje objednatele</w:t>
                </w:r>
              </w:p>
            </w:tc>
          </w:tr>
          <w:tr w:rsidR="00E16E3D" w:rsidRPr="00E23233" w14:paraId="771A21C3" w14:textId="77777777" w:rsidTr="00FE18E0">
            <w:trPr>
              <w:trHeight w:val="340"/>
            </w:trPr>
            <w:tc>
              <w:tcPr>
                <w:tcW w:w="3402" w:type="dxa"/>
                <w:shd w:val="clear" w:color="auto" w:fill="auto"/>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obchodní firmu / název</w:t>
                </w:r>
              </w:p>
            </w:tc>
          </w:tr>
          <w:tr w:rsidR="00E16E3D" w:rsidRPr="00E23233" w14:paraId="5B775A86" w14:textId="77777777" w:rsidTr="00FE18E0">
            <w:trPr>
              <w:trHeight w:val="340"/>
            </w:trPr>
            <w:tc>
              <w:tcPr>
                <w:tcW w:w="3402" w:type="dxa"/>
                <w:shd w:val="clear" w:color="auto" w:fill="auto"/>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sídlo</w:t>
                </w:r>
              </w:p>
            </w:tc>
          </w:tr>
          <w:tr w:rsidR="00E16E3D" w:rsidRPr="00E23233" w14:paraId="0935B156" w14:textId="77777777" w:rsidTr="00FE18E0">
            <w:trPr>
              <w:trHeight w:val="340"/>
            </w:trPr>
            <w:tc>
              <w:tcPr>
                <w:tcW w:w="3402" w:type="dxa"/>
                <w:shd w:val="clear" w:color="auto" w:fill="auto"/>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IČO</w:t>
                </w:r>
              </w:p>
            </w:tc>
          </w:tr>
          <w:tr w:rsidR="00E16E3D" w:rsidRPr="00E23233" w14:paraId="56381480" w14:textId="77777777" w:rsidTr="00FE18E0">
            <w:trPr>
              <w:trHeight w:val="340"/>
            </w:trPr>
            <w:tc>
              <w:tcPr>
                <w:tcW w:w="3402" w:type="dxa"/>
                <w:shd w:val="clear" w:color="auto" w:fill="auto"/>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shd w:val="clear" w:color="auto" w:fill="auto"/>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shd w:val="clear" w:color="auto" w:fill="auto"/>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shd w:val="clear" w:color="auto" w:fill="auto"/>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shd w:val="clear" w:color="auto" w:fill="auto"/>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shd w:val="clear" w:color="auto" w:fill="auto"/>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shd w:val="clear" w:color="auto" w:fill="auto"/>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1B374563" w14:textId="77777777"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04386EE8" w14:textId="317CC8FC" w:rsidR="00E23233" w:rsidRDefault="00E23233">
      <w:pPr>
        <w:rPr>
          <w:rFonts w:ascii="Arial" w:eastAsia="Times New Roman" w:hAnsi="Arial" w:cs="Arial"/>
          <w:noProof w:val="0"/>
          <w:sz w:val="20"/>
          <w:szCs w:val="20"/>
          <w:lang w:eastAsia="cs-CZ"/>
        </w:rPr>
      </w:pPr>
    </w:p>
    <w:p w14:paraId="58F13127" w14:textId="55D03893" w:rsidR="00294D8F"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w:t>
      </w:r>
      <w:r w:rsidR="00B053A7">
        <w:rPr>
          <w:rFonts w:ascii="Arial" w:eastAsia="Times New Roman" w:hAnsi="Arial" w:cs="Arial"/>
          <w:noProof w:val="0"/>
          <w:sz w:val="20"/>
          <w:szCs w:val="20"/>
          <w:lang w:eastAsia="cs-CZ"/>
        </w:rPr>
        <w:t> bude vyžadovat prokázání kvalifikace, a to elektronickými originály dokladů</w:t>
      </w:r>
      <w:r w:rsidRPr="00271232">
        <w:rPr>
          <w:rFonts w:ascii="Arial" w:eastAsia="Times New Roman" w:hAnsi="Arial" w:cs="Arial"/>
          <w:noProof w:val="0"/>
          <w:sz w:val="20"/>
          <w:szCs w:val="20"/>
          <w:lang w:eastAsia="cs-CZ"/>
        </w:rPr>
        <w:t xml:space="preserve"> </w:t>
      </w:r>
      <w:r w:rsidR="00B053A7">
        <w:rPr>
          <w:rFonts w:ascii="Arial" w:eastAsia="Times New Roman" w:hAnsi="Arial" w:cs="Arial"/>
          <w:noProof w:val="0"/>
          <w:sz w:val="20"/>
          <w:szCs w:val="20"/>
          <w:lang w:eastAsia="cs-CZ"/>
        </w:rPr>
        <w:t xml:space="preserve">prokazujícími základní a profesní způsobilost a technickou kvalifikaci, a to u vybraného dodavatele. Neprokázání kvalifikace </w:t>
      </w:r>
      <w:r w:rsidRPr="00271232">
        <w:rPr>
          <w:rFonts w:ascii="Arial" w:eastAsia="Times New Roman" w:hAnsi="Arial" w:cs="Arial"/>
          <w:noProof w:val="0"/>
          <w:sz w:val="20"/>
          <w:szCs w:val="20"/>
          <w:lang w:eastAsia="cs-CZ"/>
        </w:rPr>
        <w:t>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E23233" w:rsidRPr="00271232" w14:paraId="2CC8FEC9" w14:textId="77777777" w:rsidTr="00A31C87">
        <w:trPr>
          <w:trHeight w:val="340"/>
          <w:jc w:val="center"/>
        </w:trPr>
        <w:tc>
          <w:tcPr>
            <w:tcW w:w="9217" w:type="dxa"/>
            <w:gridSpan w:val="2"/>
            <w:vAlign w:val="center"/>
          </w:tcPr>
          <w:p w14:paraId="18B682EA" w14:textId="32CF0A26" w:rsidR="00E23233" w:rsidRDefault="00E23233" w:rsidP="00A31C87">
            <w:pPr>
              <w:spacing w:line="276" w:lineRule="auto"/>
              <w:jc w:val="both"/>
              <w:rPr>
                <w:rFonts w:ascii="Arial" w:eastAsia="Calibri" w:hAnsi="Arial" w:cs="Arial"/>
                <w:b/>
                <w:sz w:val="20"/>
                <w:szCs w:val="20"/>
              </w:rPr>
            </w:pPr>
            <w:r>
              <w:rPr>
                <w:rFonts w:ascii="Arial" w:eastAsia="Calibri" w:hAnsi="Arial" w:cs="Arial"/>
                <w:b/>
                <w:sz w:val="20"/>
                <w:szCs w:val="20"/>
              </w:rPr>
              <w:t>Dilčí nabídkové ceny:</w:t>
            </w:r>
          </w:p>
        </w:tc>
      </w:tr>
      <w:tr w:rsidR="00E23233" w:rsidRPr="00271232" w14:paraId="0D5C72B1" w14:textId="77777777" w:rsidTr="00E23233">
        <w:trPr>
          <w:trHeight w:val="173"/>
          <w:jc w:val="center"/>
        </w:trPr>
        <w:tc>
          <w:tcPr>
            <w:tcW w:w="5524" w:type="dxa"/>
            <w:vAlign w:val="center"/>
          </w:tcPr>
          <w:p w14:paraId="63DD8DC5" w14:textId="7C9ACCB3" w:rsidR="00E23233" w:rsidRDefault="00E23233" w:rsidP="00A31C87">
            <w:pPr>
              <w:spacing w:line="276" w:lineRule="auto"/>
              <w:jc w:val="both"/>
              <w:rPr>
                <w:rFonts w:ascii="Arial" w:eastAsia="Calibri" w:hAnsi="Arial" w:cs="Arial"/>
                <w:b/>
                <w:sz w:val="20"/>
                <w:szCs w:val="20"/>
              </w:rPr>
            </w:pPr>
            <w:r w:rsidRPr="00E23233">
              <w:rPr>
                <w:rFonts w:ascii="Arial" w:eastAsia="Calibri" w:hAnsi="Arial" w:cs="Arial"/>
                <w:b/>
                <w:sz w:val="20"/>
                <w:szCs w:val="20"/>
              </w:rPr>
              <w:t>Dyje, rovnovážná dynamika odtokových poměrů - napojení odstaveného ramene D13-</w:t>
            </w:r>
            <w:r>
              <w:rPr>
                <w:rFonts w:ascii="Arial" w:eastAsia="Calibri" w:hAnsi="Arial" w:cs="Arial"/>
                <w:b/>
                <w:sz w:val="20"/>
                <w:szCs w:val="20"/>
              </w:rPr>
              <w:t xml:space="preserve"> část CZ</w:t>
            </w:r>
          </w:p>
        </w:tc>
        <w:tc>
          <w:tcPr>
            <w:tcW w:w="3693" w:type="dxa"/>
            <w:vAlign w:val="center"/>
          </w:tcPr>
          <w:p w14:paraId="542E400F" w14:textId="35CE601A" w:rsidR="00E23233" w:rsidRDefault="00E23233" w:rsidP="00A31C87">
            <w:pPr>
              <w:spacing w:line="276" w:lineRule="auto"/>
              <w:jc w:val="both"/>
              <w:rPr>
                <w:rFonts w:ascii="Arial" w:eastAsia="Calibri" w:hAnsi="Arial" w:cs="Arial"/>
                <w:b/>
                <w:sz w:val="20"/>
                <w:szCs w:val="20"/>
              </w:rPr>
            </w:pPr>
            <w:r w:rsidRPr="00271232">
              <w:rPr>
                <w:rFonts w:ascii="Arial" w:eastAsia="Times New Roman" w:hAnsi="Arial" w:cs="Arial"/>
                <w:b/>
                <w:noProof w:val="0"/>
                <w:color w:val="808080"/>
                <w:sz w:val="20"/>
                <w:szCs w:val="20"/>
                <w:lang w:eastAsia="cs-CZ"/>
              </w:rPr>
              <w:t>Uveďte cenu bez DPH</w:t>
            </w:r>
            <w:r>
              <w:rPr>
                <w:rFonts w:ascii="Arial" w:eastAsia="Times New Roman" w:hAnsi="Arial" w:cs="Arial"/>
                <w:b/>
                <w:noProof w:val="0"/>
                <w:color w:val="808080"/>
                <w:sz w:val="20"/>
                <w:szCs w:val="20"/>
                <w:lang w:eastAsia="cs-CZ"/>
              </w:rPr>
              <w:t xml:space="preserve"> v</w:t>
            </w:r>
            <w:r w:rsidRPr="00271232">
              <w:rPr>
                <w:rFonts w:ascii="Arial" w:eastAsia="Times New Roman" w:hAnsi="Arial" w:cs="Arial"/>
                <w:b/>
                <w:noProof w:val="0"/>
                <w:color w:val="808080"/>
                <w:sz w:val="20"/>
                <w:szCs w:val="20"/>
                <w:lang w:eastAsia="cs-CZ"/>
              </w:rPr>
              <w:t xml:space="preserve"> </w:t>
            </w:r>
            <w:r>
              <w:rPr>
                <w:rFonts w:ascii="Arial" w:eastAsia="Times New Roman" w:hAnsi="Arial" w:cs="Arial"/>
                <w:b/>
                <w:noProof w:val="0"/>
                <w:color w:val="808080"/>
                <w:sz w:val="20"/>
                <w:szCs w:val="20"/>
                <w:lang w:eastAsia="cs-CZ"/>
              </w:rPr>
              <w:t>EUR</w:t>
            </w:r>
          </w:p>
        </w:tc>
      </w:tr>
      <w:tr w:rsidR="00E23233" w:rsidRPr="00271232" w14:paraId="5D794442" w14:textId="77777777" w:rsidTr="00E23233">
        <w:trPr>
          <w:trHeight w:val="172"/>
          <w:jc w:val="center"/>
        </w:trPr>
        <w:tc>
          <w:tcPr>
            <w:tcW w:w="5524" w:type="dxa"/>
            <w:vAlign w:val="center"/>
          </w:tcPr>
          <w:p w14:paraId="6C00FE16" w14:textId="32D96092" w:rsidR="00E23233" w:rsidRDefault="00E23233" w:rsidP="00A31C87">
            <w:pPr>
              <w:spacing w:line="276" w:lineRule="auto"/>
              <w:jc w:val="both"/>
              <w:rPr>
                <w:rFonts w:ascii="Arial" w:eastAsia="Calibri" w:hAnsi="Arial" w:cs="Arial"/>
                <w:b/>
                <w:sz w:val="20"/>
                <w:szCs w:val="20"/>
              </w:rPr>
            </w:pPr>
            <w:r w:rsidRPr="00E23233">
              <w:rPr>
                <w:rFonts w:ascii="Arial" w:eastAsia="Calibri" w:hAnsi="Arial" w:cs="Arial"/>
                <w:b/>
                <w:sz w:val="20"/>
                <w:szCs w:val="20"/>
              </w:rPr>
              <w:t>Dyje, rovnovážná dynamika odtokových poměrů - napojení odstaveného ramene D13-</w:t>
            </w:r>
            <w:r>
              <w:rPr>
                <w:rFonts w:ascii="Arial" w:eastAsia="Calibri" w:hAnsi="Arial" w:cs="Arial"/>
                <w:b/>
                <w:sz w:val="20"/>
                <w:szCs w:val="20"/>
              </w:rPr>
              <w:t xml:space="preserve"> část </w:t>
            </w:r>
            <w:r w:rsidRPr="00E23233">
              <w:rPr>
                <w:rFonts w:ascii="Arial" w:eastAsia="Calibri" w:hAnsi="Arial" w:cs="Arial"/>
                <w:b/>
                <w:sz w:val="20"/>
                <w:szCs w:val="20"/>
              </w:rPr>
              <w:t>AT</w:t>
            </w:r>
          </w:p>
        </w:tc>
        <w:tc>
          <w:tcPr>
            <w:tcW w:w="3693" w:type="dxa"/>
            <w:vAlign w:val="center"/>
          </w:tcPr>
          <w:p w14:paraId="0C56153C" w14:textId="4949873B" w:rsidR="00E23233" w:rsidRDefault="00E23233" w:rsidP="00A31C87">
            <w:pPr>
              <w:spacing w:line="276" w:lineRule="auto"/>
              <w:jc w:val="both"/>
              <w:rPr>
                <w:rFonts w:ascii="Arial" w:eastAsia="Calibri" w:hAnsi="Arial" w:cs="Arial"/>
                <w:b/>
                <w:sz w:val="20"/>
                <w:szCs w:val="20"/>
              </w:rPr>
            </w:pPr>
            <w:r w:rsidRPr="00271232">
              <w:rPr>
                <w:rFonts w:ascii="Arial" w:eastAsia="Times New Roman" w:hAnsi="Arial" w:cs="Arial"/>
                <w:b/>
                <w:noProof w:val="0"/>
                <w:color w:val="808080"/>
                <w:sz w:val="20"/>
                <w:szCs w:val="20"/>
                <w:lang w:eastAsia="cs-CZ"/>
              </w:rPr>
              <w:t>Uveďte cenu bez DPH</w:t>
            </w:r>
            <w:r>
              <w:rPr>
                <w:rFonts w:ascii="Arial" w:eastAsia="Times New Roman" w:hAnsi="Arial" w:cs="Arial"/>
                <w:b/>
                <w:noProof w:val="0"/>
                <w:color w:val="808080"/>
                <w:sz w:val="20"/>
                <w:szCs w:val="20"/>
                <w:lang w:eastAsia="cs-CZ"/>
              </w:rPr>
              <w:t xml:space="preserve"> v</w:t>
            </w:r>
            <w:r w:rsidRPr="00271232">
              <w:rPr>
                <w:rFonts w:ascii="Arial" w:eastAsia="Times New Roman" w:hAnsi="Arial" w:cs="Arial"/>
                <w:b/>
                <w:noProof w:val="0"/>
                <w:color w:val="808080"/>
                <w:sz w:val="20"/>
                <w:szCs w:val="20"/>
                <w:lang w:eastAsia="cs-CZ"/>
              </w:rPr>
              <w:t xml:space="preserve"> </w:t>
            </w:r>
            <w:r>
              <w:rPr>
                <w:rFonts w:ascii="Arial" w:eastAsia="Times New Roman" w:hAnsi="Arial" w:cs="Arial"/>
                <w:b/>
                <w:noProof w:val="0"/>
                <w:color w:val="808080"/>
                <w:sz w:val="20"/>
                <w:szCs w:val="20"/>
                <w:lang w:eastAsia="cs-CZ"/>
              </w:rPr>
              <w:t>EUR</w:t>
            </w:r>
          </w:p>
        </w:tc>
      </w:tr>
      <w:tr w:rsidR="00BC36AA" w:rsidRPr="00271232" w14:paraId="6F5D0F7A" w14:textId="77777777" w:rsidTr="00A31C87">
        <w:trPr>
          <w:trHeight w:val="340"/>
          <w:jc w:val="center"/>
        </w:trPr>
        <w:tc>
          <w:tcPr>
            <w:tcW w:w="9217" w:type="dxa"/>
            <w:gridSpan w:val="2"/>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666787EE"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3693" w:type="dxa"/>
            <w:vAlign w:val="center"/>
          </w:tcPr>
          <w:sdt>
            <w:sdtPr>
              <w:rPr>
                <w:rFonts w:ascii="Arial" w:eastAsia="Times New Roman" w:hAnsi="Arial" w:cs="Arial"/>
                <w:b/>
                <w:noProof w:val="0"/>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noProof w:val="0"/>
                    <w:color w:val="808080"/>
                    <w:sz w:val="20"/>
                    <w:szCs w:val="20"/>
                    <w:lang w:eastAsia="cs-CZ"/>
                  </w:rPr>
                </w:pPr>
              </w:p>
              <w:p w14:paraId="6A8F0C42" w14:textId="36B9A83B"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w:t>
                </w:r>
                <w:r w:rsidR="00E23233">
                  <w:rPr>
                    <w:rFonts w:ascii="Arial" w:eastAsia="Times New Roman" w:hAnsi="Arial" w:cs="Arial"/>
                    <w:b/>
                    <w:noProof w:val="0"/>
                    <w:color w:val="808080"/>
                    <w:sz w:val="20"/>
                    <w:szCs w:val="20"/>
                    <w:lang w:eastAsia="cs-CZ"/>
                  </w:rPr>
                  <w:t xml:space="preserve"> v</w:t>
                </w:r>
                <w:r w:rsidRPr="00271232">
                  <w:rPr>
                    <w:rFonts w:ascii="Arial" w:eastAsia="Times New Roman" w:hAnsi="Arial" w:cs="Arial"/>
                    <w:b/>
                    <w:noProof w:val="0"/>
                    <w:color w:val="808080"/>
                    <w:sz w:val="20"/>
                    <w:szCs w:val="20"/>
                    <w:lang w:eastAsia="cs-CZ"/>
                  </w:rPr>
                  <w:t xml:space="preserve"> </w:t>
                </w:r>
                <w:r w:rsidR="00E23233">
                  <w:rPr>
                    <w:rFonts w:ascii="Arial" w:eastAsia="Times New Roman" w:hAnsi="Arial" w:cs="Arial"/>
                    <w:b/>
                    <w:noProof w:val="0"/>
                    <w:color w:val="808080"/>
                    <w:sz w:val="20"/>
                    <w:szCs w:val="20"/>
                    <w:lang w:eastAsia="cs-CZ"/>
                  </w:rPr>
                  <w:t>EUR</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Přílohy</w:t>
      </w:r>
    </w:p>
    <w:p w14:paraId="4F8A0D70" w14:textId="53ED62F4" w:rsidR="00A9419C" w:rsidRPr="00271232" w:rsidRDefault="004E4415" w:rsidP="002A0866">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E324EA3" w14:textId="10904211" w:rsidR="00AD0625" w:rsidRDefault="00B0410B" w:rsidP="002A0866">
      <w:pPr>
        <w:keepNext/>
        <w:keepLines/>
        <w:spacing w:before="120" w:after="120" w:line="276" w:lineRule="auto"/>
        <w:ind w:left="1701" w:hanging="1275"/>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79611F">
        <w:rPr>
          <w:rFonts w:ascii="Arial" w:eastAsia="Times New Roman" w:hAnsi="Arial" w:cs="Arial"/>
          <w:sz w:val="20"/>
          <w:szCs w:val="22"/>
          <w:lang w:eastAsia="cs-CZ"/>
        </w:rPr>
        <w:t>S</w:t>
      </w:r>
      <w:r w:rsidR="00F357E5" w:rsidRPr="00271232">
        <w:rPr>
          <w:rFonts w:ascii="Arial" w:eastAsia="Times New Roman" w:hAnsi="Arial" w:cs="Arial"/>
          <w:sz w:val="20"/>
          <w:szCs w:val="22"/>
          <w:lang w:eastAsia="cs-CZ"/>
        </w:rPr>
        <w:t>dělení o právním vztahu</w:t>
      </w:r>
      <w:r w:rsidR="00A83A31">
        <w:rPr>
          <w:rFonts w:ascii="Arial" w:eastAsia="Times New Roman" w:hAnsi="Arial" w:cs="Arial"/>
          <w:sz w:val="20"/>
          <w:szCs w:val="22"/>
          <w:lang w:eastAsia="cs-CZ"/>
        </w:rPr>
        <w:t xml:space="preserve"> </w:t>
      </w:r>
      <w:r w:rsidR="00A83A31" w:rsidRPr="00785350">
        <w:rPr>
          <w:rFonts w:ascii="Arial" w:eastAsia="Times New Roman" w:hAnsi="Arial" w:cs="Arial"/>
          <w:noProof w:val="0"/>
          <w:sz w:val="20"/>
          <w:szCs w:val="22"/>
          <w:lang w:eastAsia="cs-CZ"/>
        </w:rPr>
        <w:t>(např. pracovní, funkční, poddodavatelský)</w:t>
      </w:r>
      <w:r w:rsidR="00F357E5" w:rsidRPr="00271232">
        <w:rPr>
          <w:rFonts w:ascii="Arial" w:eastAsia="Times New Roman" w:hAnsi="Arial" w:cs="Arial"/>
          <w:sz w:val="20"/>
          <w:szCs w:val="22"/>
          <w:lang w:eastAsia="cs-CZ"/>
        </w:rPr>
        <w:t xml:space="preserve"> autorizované osoby </w:t>
      </w:r>
      <w:r w:rsidR="0028241D">
        <w:rPr>
          <w:rFonts w:ascii="Arial" w:eastAsia="Times New Roman" w:hAnsi="Arial" w:cs="Arial"/>
          <w:sz w:val="20"/>
          <w:szCs w:val="22"/>
          <w:lang w:eastAsia="cs-CZ"/>
        </w:rPr>
        <w:br/>
      </w:r>
      <w:r w:rsidR="00F357E5" w:rsidRPr="00271232">
        <w:rPr>
          <w:rFonts w:ascii="Arial" w:eastAsia="Times New Roman" w:hAnsi="Arial" w:cs="Arial"/>
          <w:sz w:val="20"/>
          <w:szCs w:val="22"/>
          <w:lang w:eastAsia="cs-CZ"/>
        </w:rPr>
        <w:t>k účastníkovi</w:t>
      </w:r>
    </w:p>
    <w:p w14:paraId="6F954BAF" w14:textId="77777777" w:rsidR="00B67934" w:rsidRPr="00B67934" w:rsidRDefault="00B67934" w:rsidP="002A0866">
      <w:pPr>
        <w:keepNext/>
        <w:keepLines/>
        <w:spacing w:before="120" w:after="120" w:line="276" w:lineRule="auto"/>
        <w:ind w:left="426"/>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FA061E">
        <w:rPr>
          <w:rFonts w:ascii="Arial" w:eastAsia="Times New Roman" w:hAnsi="Arial" w:cs="Arial"/>
          <w:sz w:val="20"/>
          <w:szCs w:val="22"/>
          <w:lang w:eastAsia="cs-CZ"/>
        </w:rPr>
        <w:t xml:space="preserve"> – </w:t>
      </w:r>
      <w:r w:rsidRPr="00B67934">
        <w:rPr>
          <w:rFonts w:ascii="Arial" w:eastAsia="Times New Roman" w:hAnsi="Arial" w:cs="Arial"/>
          <w:sz w:val="20"/>
          <w:szCs w:val="22"/>
          <w:lang w:eastAsia="cs-CZ"/>
        </w:rPr>
        <w:t>Čestné prohlášení k vyloučení střetu zájmů</w:t>
      </w:r>
    </w:p>
    <w:p w14:paraId="01492ECE" w14:textId="11F03FAC" w:rsidR="00B67934" w:rsidRPr="00B67934" w:rsidRDefault="00B67934" w:rsidP="002A0866">
      <w:pPr>
        <w:keepNext/>
        <w:keepLines/>
        <w:spacing w:before="120" w:after="120" w:line="276" w:lineRule="auto"/>
        <w:ind w:left="426"/>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FA061E">
        <w:rPr>
          <w:rFonts w:ascii="Arial" w:eastAsia="Times New Roman" w:hAnsi="Arial" w:cs="Arial"/>
          <w:sz w:val="20"/>
          <w:szCs w:val="22"/>
          <w:lang w:eastAsia="cs-CZ"/>
        </w:rPr>
        <w:t xml:space="preserve"> – </w:t>
      </w:r>
      <w:r w:rsidRPr="00B67934">
        <w:rPr>
          <w:rFonts w:ascii="Arial" w:eastAsia="Times New Roman" w:hAnsi="Arial" w:cs="Arial"/>
          <w:sz w:val="20"/>
          <w:szCs w:val="22"/>
          <w:lang w:eastAsia="cs-CZ"/>
        </w:rPr>
        <w:t>Čestné prohlášení v</w:t>
      </w:r>
      <w:bookmarkStart w:id="5" w:name="_GoBack"/>
      <w:bookmarkEnd w:id="5"/>
      <w:r w:rsidRPr="00B67934">
        <w:rPr>
          <w:rFonts w:ascii="Arial" w:eastAsia="Times New Roman" w:hAnsi="Arial" w:cs="Arial"/>
          <w:sz w:val="20"/>
          <w:szCs w:val="22"/>
          <w:lang w:eastAsia="cs-CZ"/>
        </w:rPr>
        <w:t>e vztahu k ruským a běloruským subjektům</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365B99E" w:rsidR="00742385" w:rsidRPr="00271232" w:rsidRDefault="001A1C27" w:rsidP="002A0866">
              <w:pPr>
                <w:keepNext/>
                <w:keepLines/>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B67934">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3E911E7D" w14:textId="60D19BA7" w:rsidR="0016158A" w:rsidRPr="005F1E2C" w:rsidRDefault="002A0866" w:rsidP="002A0866">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p w14:paraId="50B99ACE" w14:textId="77777777" w:rsidR="000B4271" w:rsidRDefault="000B4271" w:rsidP="002A0866">
      <w:pPr>
        <w:keepNext/>
        <w:keepLines/>
        <w:rPr>
          <w:rFonts w:ascii="Arial" w:eastAsia="Times New Roman" w:hAnsi="Arial" w:cs="Arial"/>
          <w:noProof w:val="0"/>
          <w:color w:val="808080"/>
          <w:sz w:val="20"/>
          <w:szCs w:val="22"/>
          <w:lang w:eastAsia="cs-CZ"/>
        </w:rPr>
      </w:pPr>
      <w:r>
        <w:rPr>
          <w:rFonts w:ascii="Arial" w:eastAsia="Times New Roman" w:hAnsi="Arial" w:cs="Arial"/>
          <w:noProof w:val="0"/>
          <w:color w:val="808080"/>
          <w:sz w:val="20"/>
          <w:szCs w:val="22"/>
          <w:lang w:eastAsia="cs-CZ"/>
        </w:rPr>
        <w:br w:type="page"/>
      </w:r>
    </w:p>
    <w:p w14:paraId="7E26AA64" w14:textId="77777777" w:rsidR="000B4271" w:rsidRDefault="000B4271" w:rsidP="000B4271">
      <w:pPr>
        <w:keepNext/>
        <w:pageBreakBefore/>
        <w:spacing w:after="240"/>
        <w:outlineLvl w:val="0"/>
        <w:rPr>
          <w:rFonts w:ascii="Segoe UI" w:eastAsia="Calibri" w:hAnsi="Segoe UI" w:cs="Segoe UI"/>
          <w:b/>
          <w:caps/>
          <w:noProof w:val="0"/>
          <w:color w:val="73767D"/>
          <w:szCs w:val="20"/>
        </w:rPr>
      </w:pPr>
      <w:bookmarkStart w:id="6" w:name="_Toc124086505"/>
      <w:r>
        <w:rPr>
          <w:rFonts w:ascii="Segoe UI" w:eastAsia="Calibri" w:hAnsi="Segoe UI" w:cs="Segoe UI"/>
          <w:b/>
          <w:caps/>
          <w:color w:val="73767D"/>
          <w:szCs w:val="20"/>
        </w:rPr>
        <w:lastRenderedPageBreak/>
        <w:t>Příloha č. 2 – Čestné prohlášení k vyloučení střetu zájmů</w:t>
      </w:r>
      <w:bookmarkEnd w:id="6"/>
    </w:p>
    <w:p w14:paraId="2C63C713" w14:textId="77777777" w:rsidR="000B4271" w:rsidRDefault="000B4271" w:rsidP="000B4271">
      <w:pPr>
        <w:spacing w:before="120" w:after="120" w:line="264" w:lineRule="auto"/>
        <w:jc w:val="center"/>
        <w:rPr>
          <w:rFonts w:ascii="Segoe UI" w:eastAsia="Calibri" w:hAnsi="Segoe UI"/>
          <w:b/>
          <w:sz w:val="20"/>
          <w:szCs w:val="22"/>
        </w:rPr>
      </w:pPr>
      <w:r>
        <w:rPr>
          <w:rFonts w:ascii="Segoe UI" w:eastAsia="Calibri" w:hAnsi="Segoe UI"/>
          <w:b/>
          <w:sz w:val="20"/>
          <w:szCs w:val="22"/>
        </w:rPr>
        <w:t>ČESTNÉ PROHLÁŠENÍ K VYLOUČENÍ STŘETU ZÁJMŮ</w:t>
      </w:r>
    </w:p>
    <w:p w14:paraId="0AD8EA6A" w14:textId="314F25AA" w:rsidR="000B4271" w:rsidRDefault="000B4271" w:rsidP="000B4271">
      <w:pPr>
        <w:pBdr>
          <w:bottom w:val="single" w:sz="8" w:space="1" w:color="73767D"/>
        </w:pBdr>
        <w:spacing w:before="240" w:after="60" w:line="264" w:lineRule="auto"/>
        <w:jc w:val="both"/>
        <w:rPr>
          <w:rFonts w:ascii="Segoe UI" w:eastAsia="Calibri" w:hAnsi="Segoe UI" w:cs="Segoe UI"/>
          <w:b/>
          <w:sz w:val="20"/>
          <w:szCs w:val="22"/>
        </w:rPr>
      </w:pPr>
      <w:r>
        <w:rPr>
          <w:rFonts w:ascii="Segoe UI" w:eastAsia="Calibri" w:hAnsi="Segoe UI" w:cs="Segoe UI"/>
          <w:b/>
          <w:sz w:val="20"/>
          <w:szCs w:val="22"/>
        </w:rPr>
        <w:t xml:space="preserve">Název zakázky / veřejné zakázky: </w:t>
      </w:r>
      <w:r w:rsidR="00C82969" w:rsidRPr="00C82969">
        <w:rPr>
          <w:rFonts w:ascii="Segoe UI" w:eastAsia="Calibri" w:hAnsi="Segoe UI" w:cs="Segoe UI"/>
          <w:b/>
          <w:sz w:val="20"/>
          <w:szCs w:val="22"/>
        </w:rPr>
        <w:t>Nature Connect Dyje/Thaya, napojení odstaveného ramene D13</w:t>
      </w:r>
    </w:p>
    <w:p w14:paraId="3EA59510" w14:textId="77777777" w:rsidR="000B4271" w:rsidRDefault="000B4271" w:rsidP="000B4271">
      <w:pPr>
        <w:rPr>
          <w:rFonts w:ascii="Segoe UI" w:eastAsia="Times New Roman" w:hAnsi="Segoe UI" w:cs="Segoe UI"/>
          <w:caps/>
          <w:sz w:val="20"/>
          <w:szCs w:val="22"/>
        </w:rPr>
      </w:pPr>
    </w:p>
    <w:p w14:paraId="71545542" w14:textId="77777777" w:rsidR="000B4271" w:rsidRDefault="000B4271" w:rsidP="000B4271">
      <w:pPr>
        <w:pBdr>
          <w:bottom w:val="single" w:sz="8" w:space="1" w:color="73767D"/>
        </w:pBdr>
        <w:spacing w:before="120" w:after="60" w:line="264" w:lineRule="auto"/>
        <w:jc w:val="both"/>
        <w:rPr>
          <w:rFonts w:ascii="Segoe UI" w:eastAsia="Calibri" w:hAnsi="Segoe UI" w:cs="Segoe UI"/>
          <w:b/>
          <w:sz w:val="20"/>
          <w:szCs w:val="22"/>
        </w:rPr>
      </w:pPr>
      <w:r>
        <w:rPr>
          <w:rFonts w:ascii="Segoe UI" w:eastAsia="Calibri" w:hAnsi="Segoe UI" w:cs="Segoe UI"/>
          <w:b/>
          <w:sz w:val="20"/>
          <w:szCs w:val="22"/>
        </w:rPr>
        <w:t>Identifikační údaje dodavatele:</w:t>
      </w:r>
    </w:p>
    <w:tbl>
      <w:tblPr>
        <w:tblStyle w:val="Mkatabulky1"/>
        <w:tblW w:w="0"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0B4271" w14:paraId="00B0B7C9" w14:textId="77777777" w:rsidTr="000B4271">
        <w:trPr>
          <w:trHeight w:val="353"/>
        </w:trPr>
        <w:tc>
          <w:tcPr>
            <w:tcW w:w="4003" w:type="dxa"/>
            <w:tcBorders>
              <w:top w:val="nil"/>
              <w:left w:val="nil"/>
              <w:bottom w:val="single" w:sz="4" w:space="0" w:color="D9D9D9"/>
              <w:right w:val="single" w:sz="4" w:space="0" w:color="D9D9D9"/>
            </w:tcBorders>
            <w:vAlign w:val="center"/>
            <w:hideMark/>
          </w:tcPr>
          <w:p w14:paraId="4B57CBFF" w14:textId="77777777" w:rsidR="000B4271" w:rsidRDefault="000B4271">
            <w:pPr>
              <w:spacing w:before="120" w:line="264" w:lineRule="auto"/>
              <w:ind w:left="-108"/>
              <w:jc w:val="both"/>
              <w:rPr>
                <w:rFonts w:ascii="Segoe UI" w:eastAsia="Calibri" w:hAnsi="Segoe UI" w:cs="Segoe UI"/>
                <w:sz w:val="20"/>
                <w:szCs w:val="22"/>
              </w:rPr>
            </w:pPr>
            <w:r>
              <w:rPr>
                <w:rFonts w:ascii="Segoe U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0239DBC5" w14:textId="77777777" w:rsidR="000B4271" w:rsidRDefault="000B4271">
            <w:pPr>
              <w:spacing w:before="120" w:line="264" w:lineRule="auto"/>
              <w:jc w:val="both"/>
              <w:rPr>
                <w:rFonts w:ascii="Segoe UI" w:hAnsi="Segoe UI" w:cs="Segoe UI"/>
                <w:sz w:val="20"/>
                <w:szCs w:val="22"/>
              </w:rPr>
            </w:pPr>
            <w:r>
              <w:rPr>
                <w:rFonts w:ascii="Segoe UI" w:hAnsi="Segoe UI" w:cs="Segoe UI"/>
                <w:sz w:val="20"/>
                <w:szCs w:val="22"/>
                <w:highlight w:val="lightGray"/>
              </w:rPr>
              <w:t>[VYPLNÍ DODAVATEL]</w:t>
            </w:r>
          </w:p>
        </w:tc>
      </w:tr>
      <w:tr w:rsidR="000B4271" w14:paraId="12BCFEA0" w14:textId="77777777" w:rsidTr="000B4271">
        <w:trPr>
          <w:trHeight w:val="353"/>
        </w:trPr>
        <w:tc>
          <w:tcPr>
            <w:tcW w:w="4003" w:type="dxa"/>
            <w:tcBorders>
              <w:top w:val="single" w:sz="4" w:space="0" w:color="D9D9D9"/>
              <w:left w:val="nil"/>
              <w:bottom w:val="single" w:sz="4" w:space="0" w:color="D9D9D9"/>
              <w:right w:val="single" w:sz="4" w:space="0" w:color="D9D9D9"/>
            </w:tcBorders>
            <w:vAlign w:val="center"/>
            <w:hideMark/>
          </w:tcPr>
          <w:p w14:paraId="16875BBD" w14:textId="77777777" w:rsidR="000B4271" w:rsidRDefault="000B4271">
            <w:pPr>
              <w:spacing w:before="120" w:line="264" w:lineRule="auto"/>
              <w:ind w:left="-108"/>
              <w:jc w:val="both"/>
              <w:rPr>
                <w:rFonts w:ascii="Segoe UI" w:hAnsi="Segoe UI" w:cs="Segoe UI"/>
                <w:sz w:val="20"/>
                <w:szCs w:val="22"/>
              </w:rPr>
            </w:pPr>
            <w:r>
              <w:rPr>
                <w:rFonts w:ascii="Segoe U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61D7113B" w14:textId="77777777" w:rsidR="000B4271" w:rsidRDefault="000B4271">
            <w:pPr>
              <w:spacing w:before="120" w:line="264" w:lineRule="auto"/>
              <w:jc w:val="both"/>
              <w:rPr>
                <w:rFonts w:ascii="Segoe UI" w:hAnsi="Segoe UI" w:cs="Segoe UI"/>
                <w:sz w:val="20"/>
                <w:szCs w:val="22"/>
              </w:rPr>
            </w:pPr>
            <w:r>
              <w:rPr>
                <w:rFonts w:ascii="Segoe UI" w:hAnsi="Segoe UI" w:cs="Segoe UI"/>
                <w:sz w:val="20"/>
                <w:szCs w:val="22"/>
                <w:highlight w:val="lightGray"/>
              </w:rPr>
              <w:t>[VYPLNÍ DODAVATEL]</w:t>
            </w:r>
          </w:p>
        </w:tc>
      </w:tr>
    </w:tbl>
    <w:p w14:paraId="77810548" w14:textId="77777777" w:rsidR="000B4271" w:rsidRDefault="000B4271" w:rsidP="000B4271">
      <w:pPr>
        <w:spacing w:before="240" w:after="120" w:line="264" w:lineRule="auto"/>
        <w:jc w:val="both"/>
        <w:rPr>
          <w:rFonts w:ascii="Segoe UI" w:eastAsia="Calibri" w:hAnsi="Segoe UI" w:cs="Segoe UI"/>
          <w:sz w:val="20"/>
          <w:szCs w:val="20"/>
        </w:rPr>
      </w:pPr>
      <w:r>
        <w:rPr>
          <w:rFonts w:ascii="Segoe UI" w:eastAsia="Calibri" w:hAnsi="Segoe UI" w:cs="Segoe UI"/>
          <w:sz w:val="20"/>
          <w:szCs w:val="20"/>
        </w:rPr>
        <w:t xml:space="preserve">Dodavatel tímto v souladu se zadávacími podmínkami k výše uvedené zakázce / veřejné zakázce čestně prohlašuje, že fyzickou osobou (fyzickými osobami), která (které) vlastní podíl představující alespoň </w:t>
      </w:r>
      <w:r>
        <w:rPr>
          <w:rFonts w:ascii="Segoe UI" w:eastAsia="Calibri" w:hAnsi="Segoe UI" w:cs="Segoe UI"/>
          <w:sz w:val="20"/>
          <w:szCs w:val="20"/>
        </w:rPr>
        <w:br/>
        <w:t xml:space="preserve">25 % účasti společníka v obchodní společnosti je (jsou): </w:t>
      </w:r>
    </w:p>
    <w:tbl>
      <w:tblPr>
        <w:tblStyle w:val="Mkatabulky1"/>
        <w:tblW w:w="9072" w:type="dxa"/>
        <w:tblInd w:w="-5" w:type="dxa"/>
        <w:tblLook w:val="04A0" w:firstRow="1" w:lastRow="0" w:firstColumn="1" w:lastColumn="0" w:noHBand="0" w:noVBand="1"/>
      </w:tblPr>
      <w:tblGrid>
        <w:gridCol w:w="3024"/>
        <w:gridCol w:w="3024"/>
        <w:gridCol w:w="3024"/>
      </w:tblGrid>
      <w:tr w:rsidR="000B4271" w14:paraId="3BB1844A" w14:textId="77777777" w:rsidTr="000B4271">
        <w:tc>
          <w:tcPr>
            <w:tcW w:w="3024" w:type="dxa"/>
            <w:tcBorders>
              <w:top w:val="single" w:sz="4" w:space="0" w:color="auto"/>
              <w:left w:val="single" w:sz="4" w:space="0" w:color="auto"/>
              <w:bottom w:val="single" w:sz="4" w:space="0" w:color="auto"/>
              <w:right w:val="single" w:sz="4" w:space="0" w:color="auto"/>
            </w:tcBorders>
            <w:vAlign w:val="center"/>
            <w:hideMark/>
          </w:tcPr>
          <w:p w14:paraId="2BB48E19" w14:textId="77777777" w:rsidR="000B4271" w:rsidRDefault="000B4271">
            <w:pPr>
              <w:spacing w:before="120" w:after="120" w:line="264" w:lineRule="auto"/>
              <w:jc w:val="center"/>
              <w:rPr>
                <w:rFonts w:ascii="Segoe UI" w:eastAsia="Calibri" w:hAnsi="Segoe UI" w:cs="Segoe UI"/>
                <w:b/>
                <w:sz w:val="20"/>
                <w:szCs w:val="22"/>
              </w:rPr>
            </w:pPr>
            <w:r>
              <w:rPr>
                <w:rFonts w:ascii="Segoe UI" w:hAnsi="Segoe UI" w:cs="Segoe UI"/>
                <w:b/>
                <w:sz w:val="20"/>
                <w:szCs w:val="22"/>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48BC2122" w14:textId="77777777" w:rsidR="000B4271" w:rsidRDefault="000B4271">
            <w:pPr>
              <w:spacing w:before="120" w:after="120" w:line="264" w:lineRule="auto"/>
              <w:jc w:val="center"/>
              <w:rPr>
                <w:rFonts w:ascii="Segoe UI" w:hAnsi="Segoe UI" w:cs="Segoe UI"/>
                <w:b/>
                <w:sz w:val="20"/>
                <w:szCs w:val="22"/>
              </w:rPr>
            </w:pPr>
            <w:r>
              <w:rPr>
                <w:rFonts w:ascii="Segoe UI" w:hAnsi="Segoe UI" w:cs="Segoe UI"/>
                <w:b/>
                <w:sz w:val="20"/>
                <w:szCs w:val="22"/>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744FFD33" w14:textId="77777777" w:rsidR="000B4271" w:rsidRDefault="000B4271">
            <w:pPr>
              <w:spacing w:before="120" w:after="120" w:line="264" w:lineRule="auto"/>
              <w:jc w:val="center"/>
              <w:rPr>
                <w:rFonts w:ascii="Segoe UI" w:hAnsi="Segoe UI" w:cs="Segoe UI"/>
                <w:b/>
                <w:sz w:val="20"/>
                <w:szCs w:val="22"/>
              </w:rPr>
            </w:pPr>
            <w:r>
              <w:rPr>
                <w:rFonts w:ascii="Segoe UI" w:hAnsi="Segoe UI" w:cs="Segoe UI"/>
                <w:b/>
                <w:sz w:val="20"/>
                <w:szCs w:val="22"/>
              </w:rPr>
              <w:t>Datum narození</w:t>
            </w:r>
          </w:p>
        </w:tc>
      </w:tr>
      <w:tr w:rsidR="000B4271" w14:paraId="29519114" w14:textId="77777777" w:rsidTr="000B4271">
        <w:tc>
          <w:tcPr>
            <w:tcW w:w="3024" w:type="dxa"/>
            <w:tcBorders>
              <w:top w:val="single" w:sz="4" w:space="0" w:color="auto"/>
              <w:left w:val="single" w:sz="4" w:space="0" w:color="auto"/>
              <w:bottom w:val="single" w:sz="4" w:space="0" w:color="auto"/>
              <w:right w:val="single" w:sz="4" w:space="0" w:color="auto"/>
            </w:tcBorders>
            <w:hideMark/>
          </w:tcPr>
          <w:p w14:paraId="242CE0FA"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8BFA558"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B370899"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r>
      <w:tr w:rsidR="000B4271" w14:paraId="00A4416E" w14:textId="77777777" w:rsidTr="000B4271">
        <w:tc>
          <w:tcPr>
            <w:tcW w:w="3024" w:type="dxa"/>
            <w:tcBorders>
              <w:top w:val="single" w:sz="4" w:space="0" w:color="auto"/>
              <w:left w:val="single" w:sz="4" w:space="0" w:color="auto"/>
              <w:bottom w:val="single" w:sz="4" w:space="0" w:color="auto"/>
              <w:right w:val="single" w:sz="4" w:space="0" w:color="auto"/>
            </w:tcBorders>
            <w:hideMark/>
          </w:tcPr>
          <w:p w14:paraId="39376849"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DA87EF4"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41B2696" w14:textId="77777777" w:rsidR="000B4271" w:rsidRDefault="000B4271">
            <w:pPr>
              <w:spacing w:before="120" w:after="120" w:line="264" w:lineRule="auto"/>
              <w:jc w:val="center"/>
              <w:rPr>
                <w:rFonts w:ascii="Segoe UI" w:hAnsi="Segoe UI" w:cs="Segoe UI"/>
                <w:sz w:val="20"/>
                <w:szCs w:val="22"/>
                <w:highlight w:val="lightGray"/>
              </w:rPr>
            </w:pPr>
            <w:r>
              <w:rPr>
                <w:rFonts w:ascii="Segoe UI" w:hAnsi="Segoe UI" w:cs="Segoe UI"/>
                <w:sz w:val="20"/>
                <w:szCs w:val="22"/>
                <w:highlight w:val="lightGray"/>
              </w:rPr>
              <w:t>[VYPLNÍ DODAVATEL]</w:t>
            </w:r>
          </w:p>
        </w:tc>
      </w:tr>
    </w:tbl>
    <w:p w14:paraId="386ED2E2" w14:textId="77777777" w:rsidR="000B4271" w:rsidRDefault="000B4271" w:rsidP="000B4271">
      <w:pPr>
        <w:spacing w:before="240" w:after="240" w:line="264" w:lineRule="auto"/>
        <w:jc w:val="both"/>
        <w:rPr>
          <w:rFonts w:ascii="Segoe UI" w:eastAsia="Calibri" w:hAnsi="Segoe UI" w:cs="Segoe UI"/>
          <w:sz w:val="20"/>
          <w:szCs w:val="20"/>
        </w:rPr>
      </w:pPr>
      <w:r>
        <w:rPr>
          <w:rFonts w:ascii="Segoe UI" w:eastAsia="Calibri" w:hAnsi="Segoe UI" w:cs="Segoe UI"/>
          <w:sz w:val="20"/>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0B4271" w14:paraId="2F27E924" w14:textId="77777777" w:rsidTr="000B4271">
        <w:tc>
          <w:tcPr>
            <w:tcW w:w="3024" w:type="dxa"/>
            <w:tcBorders>
              <w:top w:val="single" w:sz="4" w:space="0" w:color="auto"/>
              <w:left w:val="single" w:sz="4" w:space="0" w:color="auto"/>
              <w:bottom w:val="single" w:sz="4" w:space="0" w:color="auto"/>
              <w:right w:val="single" w:sz="4" w:space="0" w:color="auto"/>
            </w:tcBorders>
            <w:vAlign w:val="center"/>
            <w:hideMark/>
          </w:tcPr>
          <w:p w14:paraId="0E9CEB3E" w14:textId="77777777" w:rsidR="000B4271" w:rsidRDefault="000B4271">
            <w:pPr>
              <w:spacing w:before="120" w:after="120" w:line="264" w:lineRule="auto"/>
              <w:jc w:val="center"/>
              <w:rPr>
                <w:rFonts w:ascii="Segoe UI" w:eastAsia="Calibri" w:hAnsi="Segoe UI" w:cs="Segoe UI"/>
                <w:b/>
                <w:sz w:val="20"/>
                <w:szCs w:val="20"/>
              </w:rPr>
            </w:pPr>
            <w:r>
              <w:rPr>
                <w:rFonts w:ascii="Segoe UI" w:hAnsi="Segoe UI" w:cs="Segoe UI"/>
                <w:b/>
                <w:sz w:val="20"/>
                <w:szCs w:val="20"/>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34F95EE0" w14:textId="77777777" w:rsidR="000B4271" w:rsidRDefault="000B4271">
            <w:pPr>
              <w:spacing w:before="120" w:after="120" w:line="264" w:lineRule="auto"/>
              <w:jc w:val="center"/>
              <w:rPr>
                <w:rFonts w:ascii="Segoe UI" w:hAnsi="Segoe UI" w:cs="Segoe UI"/>
                <w:b/>
                <w:sz w:val="20"/>
                <w:szCs w:val="20"/>
              </w:rPr>
            </w:pPr>
            <w:r>
              <w:rPr>
                <w:rFonts w:ascii="Segoe UI" w:hAnsi="Segoe UI" w:cs="Segoe UI"/>
                <w:b/>
                <w:sz w:val="20"/>
                <w:szCs w:val="20"/>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DB97770" w14:textId="77777777" w:rsidR="000B4271" w:rsidRDefault="000B4271">
            <w:pPr>
              <w:spacing w:before="120" w:after="120" w:line="264" w:lineRule="auto"/>
              <w:jc w:val="center"/>
              <w:rPr>
                <w:rFonts w:ascii="Segoe UI" w:hAnsi="Segoe UI" w:cs="Segoe UI"/>
                <w:b/>
                <w:sz w:val="20"/>
                <w:szCs w:val="20"/>
              </w:rPr>
            </w:pPr>
            <w:r>
              <w:rPr>
                <w:rFonts w:ascii="Segoe UI" w:hAnsi="Segoe UI" w:cs="Segoe UI"/>
                <w:b/>
                <w:sz w:val="20"/>
                <w:szCs w:val="20"/>
              </w:rPr>
              <w:t>Datum narození</w:t>
            </w:r>
          </w:p>
        </w:tc>
      </w:tr>
      <w:tr w:rsidR="000B4271" w14:paraId="49C3E12F" w14:textId="77777777" w:rsidTr="000B4271">
        <w:tc>
          <w:tcPr>
            <w:tcW w:w="3024" w:type="dxa"/>
            <w:tcBorders>
              <w:top w:val="single" w:sz="4" w:space="0" w:color="auto"/>
              <w:left w:val="single" w:sz="4" w:space="0" w:color="auto"/>
              <w:bottom w:val="single" w:sz="4" w:space="0" w:color="auto"/>
              <w:right w:val="single" w:sz="4" w:space="0" w:color="auto"/>
            </w:tcBorders>
            <w:hideMark/>
          </w:tcPr>
          <w:p w14:paraId="2927E1AC"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7A0943EB"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07F96AA"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r>
      <w:tr w:rsidR="000B4271" w14:paraId="5CD8D83A" w14:textId="77777777" w:rsidTr="000B4271">
        <w:tc>
          <w:tcPr>
            <w:tcW w:w="3024" w:type="dxa"/>
            <w:tcBorders>
              <w:top w:val="single" w:sz="4" w:space="0" w:color="auto"/>
              <w:left w:val="single" w:sz="4" w:space="0" w:color="auto"/>
              <w:bottom w:val="single" w:sz="4" w:space="0" w:color="auto"/>
              <w:right w:val="single" w:sz="4" w:space="0" w:color="auto"/>
            </w:tcBorders>
            <w:hideMark/>
          </w:tcPr>
          <w:p w14:paraId="7AA2915A"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49AF1C43"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DDC05D6" w14:textId="77777777" w:rsidR="000B4271" w:rsidRDefault="000B4271">
            <w:pPr>
              <w:spacing w:before="120" w:after="120" w:line="264" w:lineRule="auto"/>
              <w:jc w:val="center"/>
              <w:rPr>
                <w:rFonts w:ascii="Segoe UI" w:hAnsi="Segoe UI" w:cs="Segoe UI"/>
                <w:sz w:val="20"/>
                <w:szCs w:val="20"/>
                <w:highlight w:val="lightGray"/>
              </w:rPr>
            </w:pPr>
            <w:r>
              <w:rPr>
                <w:rFonts w:ascii="Segoe UI" w:hAnsi="Segoe UI" w:cs="Segoe UI"/>
                <w:sz w:val="20"/>
                <w:szCs w:val="20"/>
                <w:highlight w:val="lightGray"/>
              </w:rPr>
              <w:t>[VYPLNÍ DODAVATEL]</w:t>
            </w:r>
          </w:p>
        </w:tc>
      </w:tr>
    </w:tbl>
    <w:p w14:paraId="05EC2215" w14:textId="77777777" w:rsidR="000B4271" w:rsidRDefault="000B4271" w:rsidP="000B4271">
      <w:pPr>
        <w:spacing w:before="120" w:after="120" w:line="264" w:lineRule="auto"/>
        <w:jc w:val="both"/>
        <w:rPr>
          <w:rFonts w:ascii="Segoe UI" w:eastAsia="Calibri" w:hAnsi="Segoe UI" w:cs="Segoe UI"/>
          <w:sz w:val="20"/>
          <w:szCs w:val="22"/>
        </w:rPr>
      </w:pPr>
      <w:r>
        <w:rPr>
          <w:rFonts w:ascii="Segoe UI" w:eastAsia="Calibri" w:hAnsi="Segoe UI" w:cs="Segoe UI"/>
          <w:sz w:val="20"/>
          <w:szCs w:val="20"/>
        </w:rPr>
        <w:t xml:space="preserve">* </w:t>
      </w:r>
      <w:r>
        <w:rPr>
          <w:rFonts w:ascii="Segoe UI" w:eastAsia="Calibri" w:hAnsi="Segoe UI" w:cs="Segoe UI"/>
          <w:i/>
          <w:sz w:val="18"/>
          <w:szCs w:val="20"/>
        </w:rPr>
        <w:t>Pokud taková osoba (osoby) neexistuje, dodavatel ponechá tabulku (tabulky) nevyplněnou, příp. ji proškrtne.</w:t>
      </w:r>
    </w:p>
    <w:p w14:paraId="4EE44084" w14:textId="77777777" w:rsidR="000B4271" w:rsidRDefault="000B4271" w:rsidP="000B4271">
      <w:pPr>
        <w:spacing w:before="240" w:after="120" w:line="264" w:lineRule="auto"/>
        <w:jc w:val="both"/>
        <w:rPr>
          <w:rFonts w:ascii="Segoe UI" w:eastAsia="Calibri" w:hAnsi="Segoe UI" w:cs="Segoe UI"/>
          <w:sz w:val="20"/>
          <w:szCs w:val="22"/>
        </w:rPr>
      </w:pPr>
      <w:r>
        <w:rPr>
          <w:rFonts w:ascii="Segoe UI" w:eastAsia="Calibri" w:hAnsi="Segoe UI" w:cs="Segoe UI"/>
          <w:sz w:val="20"/>
          <w:szCs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Pr>
          <w:rStyle w:val="Znakapoznpodarou"/>
          <w:rFonts w:ascii="Segoe UI" w:eastAsia="Calibri" w:hAnsi="Segoe UI" w:cs="Segoe UI"/>
          <w:sz w:val="20"/>
          <w:szCs w:val="22"/>
        </w:rPr>
        <w:footnoteReference w:customMarkFollows="1" w:id="1"/>
        <w:t>29</w:t>
      </w:r>
      <w:r>
        <w:rPr>
          <w:rFonts w:ascii="Segoe UI" w:eastAsia="Calibri" w:hAnsi="Segoe UI" w:cs="Segoe UI"/>
          <w:sz w:val="20"/>
          <w:szCs w:val="22"/>
        </w:rPr>
        <w:t>, nebo jím ovládaná osoba vlastní podíl představující alespoň 25 % účasti společníka v obchodní společnosti.</w:t>
      </w:r>
    </w:p>
    <w:p w14:paraId="258BED55" w14:textId="77777777" w:rsidR="000B4271" w:rsidRDefault="000B4271" w:rsidP="000B4271">
      <w:pPr>
        <w:spacing w:before="240" w:after="120" w:line="264" w:lineRule="auto"/>
        <w:jc w:val="both"/>
        <w:rPr>
          <w:rFonts w:ascii="Segoe UI" w:eastAsia="Calibri" w:hAnsi="Segoe UI" w:cs="Segoe UI"/>
          <w:sz w:val="20"/>
          <w:szCs w:val="22"/>
        </w:rPr>
      </w:pPr>
      <w:r>
        <w:rPr>
          <w:rFonts w:ascii="Segoe UI" w:eastAsia="Calibri" w:hAnsi="Segoe UI" w:cs="Segoe UI"/>
          <w:sz w:val="20"/>
          <w:szCs w:val="22"/>
        </w:rPr>
        <w:t xml:space="preserve">V </w:t>
      </w:r>
      <w:r>
        <w:rPr>
          <w:rFonts w:ascii="Segoe UI" w:eastAsia="Calibri" w:hAnsi="Segoe UI" w:cs="Segoe UI"/>
          <w:sz w:val="20"/>
          <w:szCs w:val="22"/>
          <w:highlight w:val="lightGray"/>
        </w:rPr>
        <w:t>[VYPLNÍ DODAVATEL]</w:t>
      </w:r>
      <w:r>
        <w:rPr>
          <w:rFonts w:ascii="Segoe UI" w:eastAsia="Calibri" w:hAnsi="Segoe UI" w:cs="Segoe UI"/>
          <w:sz w:val="20"/>
          <w:szCs w:val="22"/>
        </w:rPr>
        <w:t xml:space="preserve"> dne </w:t>
      </w:r>
      <w:r>
        <w:rPr>
          <w:rFonts w:ascii="Segoe UI" w:eastAsia="Calibri" w:hAnsi="Segoe UI" w:cs="Segoe UI"/>
          <w:sz w:val="20"/>
          <w:szCs w:val="22"/>
          <w:highlight w:val="lightGray"/>
        </w:rPr>
        <w:t>[VYPLNÍ DODAVATEL]</w:t>
      </w:r>
    </w:p>
    <w:p w14:paraId="041CA681" w14:textId="77777777" w:rsidR="000B4271" w:rsidRDefault="000B4271" w:rsidP="000B4271">
      <w:pPr>
        <w:tabs>
          <w:tab w:val="left" w:pos="0"/>
          <w:tab w:val="right" w:leader="dot" w:pos="4536"/>
        </w:tabs>
        <w:spacing w:before="720" w:line="264" w:lineRule="auto"/>
        <w:rPr>
          <w:rFonts w:ascii="Segoe UI" w:eastAsia="Times New Roman" w:hAnsi="Segoe UI" w:cs="Segoe UI"/>
          <w:color w:val="000000"/>
          <w:sz w:val="20"/>
          <w:szCs w:val="20"/>
          <w:lang w:eastAsia="cs-CZ"/>
        </w:rPr>
      </w:pPr>
      <w:r>
        <w:rPr>
          <w:rFonts w:ascii="Segoe UI" w:hAnsi="Segoe UI" w:cs="Segoe UI"/>
          <w:color w:val="000000"/>
          <w:sz w:val="20"/>
          <w:szCs w:val="20"/>
        </w:rPr>
        <w:tab/>
      </w:r>
    </w:p>
    <w:p w14:paraId="5A2C676C" w14:textId="77777777" w:rsidR="000B4271" w:rsidRDefault="000B4271" w:rsidP="000B4271">
      <w:pPr>
        <w:spacing w:before="120" w:line="264" w:lineRule="auto"/>
        <w:jc w:val="both"/>
        <w:rPr>
          <w:rFonts w:ascii="Segoe UI" w:eastAsia="Calibri" w:hAnsi="Segoe UI" w:cs="Segoe UI"/>
          <w:b/>
          <w:sz w:val="20"/>
          <w:szCs w:val="20"/>
        </w:rPr>
      </w:pPr>
      <w:r>
        <w:rPr>
          <w:rFonts w:ascii="Segoe UI" w:eastAsia="Calibri" w:hAnsi="Segoe UI" w:cs="Segoe UI"/>
          <w:b/>
          <w:sz w:val="20"/>
          <w:szCs w:val="20"/>
          <w:highlight w:val="lightGray"/>
        </w:rPr>
        <w:t>[VYPLNÍ DODAVATEL - Jméno a příjmení osoby oprávněné jednat za dodavatele + podpis]</w:t>
      </w:r>
    </w:p>
    <w:p w14:paraId="74887BCA" w14:textId="77777777" w:rsidR="000B4271" w:rsidRDefault="000B4271" w:rsidP="000B4271">
      <w:pPr>
        <w:jc w:val="both"/>
        <w:rPr>
          <w:rFonts w:ascii="Calibri" w:eastAsia="Times New Roman" w:hAnsi="Calibri" w:cs="Arial"/>
          <w:sz w:val="22"/>
          <w:szCs w:val="22"/>
          <w:lang w:eastAsia="cs-CZ"/>
        </w:rPr>
      </w:pPr>
    </w:p>
    <w:p w14:paraId="04ED94E1" w14:textId="77777777" w:rsidR="000B4271" w:rsidRDefault="000B4271" w:rsidP="000B4271">
      <w:pPr>
        <w:keepNext/>
        <w:pageBreakBefore/>
        <w:spacing w:after="240"/>
        <w:outlineLvl w:val="0"/>
        <w:rPr>
          <w:rFonts w:ascii="Segoe UI" w:eastAsia="Calibri" w:hAnsi="Segoe UI" w:cs="Segoe UI"/>
          <w:b/>
          <w:caps/>
          <w:noProof w:val="0"/>
          <w:color w:val="73767D"/>
          <w:szCs w:val="20"/>
        </w:rPr>
      </w:pPr>
      <w:bookmarkStart w:id="7" w:name="_Toc124086506"/>
      <w:r>
        <w:rPr>
          <w:rFonts w:ascii="Segoe UI" w:eastAsia="Calibri" w:hAnsi="Segoe UI" w:cs="Segoe UI"/>
          <w:b/>
          <w:caps/>
          <w:color w:val="73767D"/>
          <w:szCs w:val="20"/>
        </w:rPr>
        <w:lastRenderedPageBreak/>
        <w:t>Příloha č. 3 – Čestné prohlášení ve vztahu k ruským / běloruským subjektům</w:t>
      </w:r>
      <w:bookmarkEnd w:id="7"/>
    </w:p>
    <w:p w14:paraId="29751EF5" w14:textId="77777777" w:rsidR="000B4271" w:rsidRDefault="000B4271" w:rsidP="000B4271">
      <w:pPr>
        <w:spacing w:before="120" w:line="264" w:lineRule="auto"/>
        <w:jc w:val="center"/>
        <w:rPr>
          <w:rFonts w:ascii="Segoe UI" w:eastAsia="Calibri" w:hAnsi="Segoe UI"/>
          <w:b/>
          <w:sz w:val="20"/>
          <w:szCs w:val="22"/>
        </w:rPr>
      </w:pPr>
      <w:r>
        <w:rPr>
          <w:rFonts w:ascii="Segoe UI" w:eastAsia="Calibri" w:hAnsi="Segoe UI"/>
          <w:b/>
          <w:sz w:val="20"/>
          <w:szCs w:val="22"/>
        </w:rPr>
        <w:t>ČESTNÉ PROHLÁŠENÍ VE VZTAHU K RUSKÝM / BĚLORUSKÝM SUBJEKTŮM</w:t>
      </w:r>
    </w:p>
    <w:p w14:paraId="0D315EB8" w14:textId="77777777" w:rsidR="000B4271" w:rsidRDefault="000B4271" w:rsidP="000B4271">
      <w:pPr>
        <w:spacing w:line="264" w:lineRule="auto"/>
        <w:rPr>
          <w:rFonts w:ascii="Segoe UI" w:eastAsia="Calibri" w:hAnsi="Segoe UI"/>
          <w:b/>
          <w:sz w:val="20"/>
          <w:szCs w:val="22"/>
        </w:rPr>
      </w:pPr>
    </w:p>
    <w:p w14:paraId="3A0B77C9" w14:textId="3550643C" w:rsidR="000B4271" w:rsidRDefault="000B4271" w:rsidP="000B4271">
      <w:pPr>
        <w:pBdr>
          <w:bottom w:val="single" w:sz="8" w:space="1" w:color="73767D"/>
        </w:pBdr>
        <w:spacing w:after="60" w:line="264" w:lineRule="auto"/>
        <w:jc w:val="both"/>
        <w:rPr>
          <w:rFonts w:ascii="Segoe UI" w:eastAsia="Calibri" w:hAnsi="Segoe UI" w:cs="Segoe UI"/>
          <w:b/>
          <w:sz w:val="20"/>
          <w:szCs w:val="22"/>
        </w:rPr>
      </w:pPr>
      <w:r>
        <w:rPr>
          <w:rFonts w:ascii="Segoe UI" w:eastAsia="Calibri" w:hAnsi="Segoe UI" w:cs="Segoe UI"/>
          <w:b/>
          <w:sz w:val="20"/>
          <w:szCs w:val="22"/>
        </w:rPr>
        <w:t xml:space="preserve">Název zakázky / veřejné zakázky: </w:t>
      </w:r>
      <w:r w:rsidR="00C82969" w:rsidRPr="00C82969">
        <w:rPr>
          <w:rFonts w:ascii="Segoe UI" w:eastAsia="Calibri" w:hAnsi="Segoe UI" w:cs="Segoe UI"/>
          <w:b/>
          <w:sz w:val="20"/>
          <w:szCs w:val="22"/>
        </w:rPr>
        <w:t>Nature Connect Dyje/Thaya, napojení odstaveného ramene D13</w:t>
      </w:r>
    </w:p>
    <w:p w14:paraId="64FF23AC" w14:textId="77777777" w:rsidR="000B4271" w:rsidRDefault="000B4271" w:rsidP="000B4271">
      <w:pPr>
        <w:rPr>
          <w:rFonts w:ascii="Segoe UI" w:eastAsia="Times New Roman" w:hAnsi="Segoe UI" w:cs="Segoe UI"/>
          <w:caps/>
          <w:sz w:val="20"/>
          <w:szCs w:val="22"/>
        </w:rPr>
      </w:pPr>
    </w:p>
    <w:p w14:paraId="2B086C88" w14:textId="77777777" w:rsidR="000B4271" w:rsidRDefault="000B4271" w:rsidP="000B4271">
      <w:pPr>
        <w:pBdr>
          <w:bottom w:val="single" w:sz="8" w:space="1" w:color="73767D"/>
        </w:pBdr>
        <w:spacing w:before="120" w:after="60" w:line="264" w:lineRule="auto"/>
        <w:jc w:val="both"/>
        <w:rPr>
          <w:rFonts w:ascii="Segoe UI" w:eastAsia="Calibri" w:hAnsi="Segoe UI" w:cs="Segoe UI"/>
          <w:b/>
          <w:sz w:val="20"/>
          <w:szCs w:val="22"/>
        </w:rPr>
      </w:pPr>
      <w:r>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0B4271" w14:paraId="3455719B" w14:textId="77777777" w:rsidTr="000B4271">
        <w:trPr>
          <w:trHeight w:val="353"/>
        </w:trPr>
        <w:tc>
          <w:tcPr>
            <w:tcW w:w="4003" w:type="dxa"/>
            <w:tcBorders>
              <w:top w:val="nil"/>
              <w:left w:val="nil"/>
              <w:bottom w:val="single" w:sz="4" w:space="0" w:color="D9D9D9"/>
              <w:right w:val="single" w:sz="4" w:space="0" w:color="D9D9D9"/>
            </w:tcBorders>
            <w:vAlign w:val="center"/>
            <w:hideMark/>
          </w:tcPr>
          <w:p w14:paraId="7D385839" w14:textId="77777777" w:rsidR="000B4271" w:rsidRDefault="000B4271">
            <w:pPr>
              <w:spacing w:before="120" w:line="264" w:lineRule="auto"/>
              <w:ind w:left="-108"/>
              <w:jc w:val="both"/>
              <w:rPr>
                <w:rFonts w:ascii="Segoe UI" w:eastAsia="Calibri" w:hAnsi="Segoe UI" w:cs="Segoe UI"/>
                <w:sz w:val="20"/>
                <w:szCs w:val="22"/>
              </w:rPr>
            </w:pPr>
            <w:r>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759D7319" w14:textId="77777777" w:rsidR="000B4271" w:rsidRDefault="000B4271">
            <w:pPr>
              <w:spacing w:before="120" w:line="264" w:lineRule="auto"/>
              <w:jc w:val="both"/>
              <w:rPr>
                <w:rFonts w:ascii="Segoe UI" w:eastAsia="Calibri" w:hAnsi="Segoe UI" w:cs="Segoe UI"/>
                <w:sz w:val="20"/>
                <w:szCs w:val="22"/>
              </w:rPr>
            </w:pPr>
            <w:r>
              <w:rPr>
                <w:rFonts w:ascii="Segoe UI" w:eastAsia="Calibri" w:hAnsi="Segoe UI" w:cs="Segoe UI"/>
                <w:sz w:val="20"/>
                <w:szCs w:val="22"/>
                <w:highlight w:val="lightGray"/>
              </w:rPr>
              <w:t>[VYPLNÍ DODAVATEL]</w:t>
            </w:r>
          </w:p>
        </w:tc>
      </w:tr>
      <w:tr w:rsidR="000B4271" w14:paraId="26ECD4F4" w14:textId="77777777" w:rsidTr="000B4271">
        <w:trPr>
          <w:trHeight w:val="353"/>
        </w:trPr>
        <w:tc>
          <w:tcPr>
            <w:tcW w:w="4003" w:type="dxa"/>
            <w:tcBorders>
              <w:top w:val="single" w:sz="4" w:space="0" w:color="D9D9D9"/>
              <w:left w:val="nil"/>
              <w:bottom w:val="single" w:sz="4" w:space="0" w:color="D9D9D9"/>
              <w:right w:val="single" w:sz="4" w:space="0" w:color="D9D9D9"/>
            </w:tcBorders>
            <w:vAlign w:val="center"/>
            <w:hideMark/>
          </w:tcPr>
          <w:p w14:paraId="4CF413F6" w14:textId="77777777" w:rsidR="000B4271" w:rsidRDefault="000B4271">
            <w:pPr>
              <w:spacing w:before="120" w:line="264" w:lineRule="auto"/>
              <w:ind w:left="-108"/>
              <w:jc w:val="both"/>
              <w:rPr>
                <w:rFonts w:ascii="Segoe UI" w:eastAsia="Calibri" w:hAnsi="Segoe UI" w:cs="Segoe UI"/>
                <w:sz w:val="20"/>
                <w:szCs w:val="22"/>
              </w:rPr>
            </w:pPr>
            <w:r>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4AAE973D" w14:textId="77777777" w:rsidR="000B4271" w:rsidRDefault="000B4271">
            <w:pPr>
              <w:spacing w:before="120" w:line="264" w:lineRule="auto"/>
              <w:jc w:val="both"/>
              <w:rPr>
                <w:rFonts w:ascii="Segoe UI" w:eastAsia="Calibri" w:hAnsi="Segoe UI" w:cs="Segoe UI"/>
                <w:sz w:val="20"/>
                <w:szCs w:val="22"/>
              </w:rPr>
            </w:pPr>
            <w:r>
              <w:rPr>
                <w:rFonts w:ascii="Segoe UI" w:eastAsia="Calibri" w:hAnsi="Segoe UI" w:cs="Segoe UI"/>
                <w:sz w:val="20"/>
                <w:szCs w:val="22"/>
                <w:highlight w:val="lightGray"/>
              </w:rPr>
              <w:t>[VYPLNÍ DODAVATEL]</w:t>
            </w:r>
          </w:p>
        </w:tc>
      </w:tr>
    </w:tbl>
    <w:p w14:paraId="66B26DA7" w14:textId="77777777" w:rsidR="000B4271" w:rsidRDefault="000B4271" w:rsidP="000B4271">
      <w:pPr>
        <w:spacing w:before="240" w:after="120"/>
        <w:jc w:val="both"/>
        <w:rPr>
          <w:rFonts w:ascii="Segoe UI" w:eastAsia="Times New Roman" w:hAnsi="Segoe UI" w:cs="Segoe UI"/>
          <w:color w:val="000000"/>
          <w:sz w:val="20"/>
          <w:szCs w:val="20"/>
        </w:rPr>
      </w:pPr>
      <w:r>
        <w:rPr>
          <w:rFonts w:ascii="Segoe UI" w:hAnsi="Segoe UI" w:cs="Segoe UI"/>
          <w:color w:val="000000"/>
          <w:sz w:val="20"/>
          <w:szCs w:val="20"/>
        </w:rPr>
        <w:t>Vybraný dodavatel tímto ve vztahu k výše nadepsané zakázce / veřejné zakázky prohlašuje, že:</w:t>
      </w:r>
    </w:p>
    <w:p w14:paraId="662597C7" w14:textId="77777777" w:rsidR="000B4271" w:rsidRDefault="000B4271" w:rsidP="000B4271">
      <w:pPr>
        <w:numPr>
          <w:ilvl w:val="0"/>
          <w:numId w:val="19"/>
        </w:numPr>
        <w:tabs>
          <w:tab w:val="right" w:pos="284"/>
          <w:tab w:val="right" w:leader="dot" w:pos="4962"/>
          <w:tab w:val="right" w:pos="5103"/>
          <w:tab w:val="right" w:leader="dot" w:pos="9072"/>
        </w:tabs>
        <w:spacing w:before="120"/>
        <w:ind w:left="284" w:hanging="357"/>
        <w:jc w:val="both"/>
        <w:rPr>
          <w:rFonts w:ascii="Segoe UI" w:hAnsi="Segoe UI" w:cs="Segoe UI"/>
          <w:color w:val="000000"/>
          <w:sz w:val="20"/>
          <w:szCs w:val="20"/>
          <w:lang w:eastAsia="cs-CZ"/>
        </w:rPr>
      </w:pPr>
      <w:r>
        <w:rPr>
          <w:rFonts w:ascii="Segoe UI" w:hAnsi="Segoe UI" w:cs="Segoe UI"/>
          <w:color w:val="000000"/>
          <w:sz w:val="20"/>
          <w:szCs w:val="2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Pr>
          <w:rFonts w:ascii="Segoe UI" w:hAnsi="Segoe UI" w:cs="Segoe UI"/>
          <w:color w:val="000000"/>
          <w:sz w:val="20"/>
          <w:szCs w:val="20"/>
        </w:rPr>
        <w:br/>
        <w:t>v rozsahu více než 10 % nabídkové ceny,</w:t>
      </w:r>
    </w:p>
    <w:p w14:paraId="4B3C8DA7" w14:textId="77777777" w:rsidR="000B4271" w:rsidRDefault="000B4271" w:rsidP="000B4271">
      <w:pPr>
        <w:numPr>
          <w:ilvl w:val="0"/>
          <w:numId w:val="20"/>
        </w:numPr>
        <w:tabs>
          <w:tab w:val="left" w:pos="3969"/>
          <w:tab w:val="right" w:leader="dot" w:pos="4962"/>
          <w:tab w:val="right" w:pos="5103"/>
          <w:tab w:val="right" w:leader="dot" w:pos="9072"/>
        </w:tabs>
        <w:spacing w:before="120"/>
        <w:ind w:left="567" w:hanging="283"/>
        <w:jc w:val="both"/>
        <w:rPr>
          <w:rFonts w:ascii="Segoe UI" w:hAnsi="Segoe UI" w:cs="Segoe UI"/>
          <w:color w:val="000000"/>
          <w:sz w:val="20"/>
          <w:szCs w:val="20"/>
        </w:rPr>
      </w:pPr>
      <w:r>
        <w:rPr>
          <w:rFonts w:ascii="Segoe UI" w:hAnsi="Segoe UI" w:cs="Segoe UI"/>
          <w:color w:val="000000"/>
          <w:sz w:val="20"/>
          <w:szCs w:val="20"/>
        </w:rPr>
        <w:t>není ruským státním příslušníkem, fyzickou či právnickou osobou nebo subjektem či orgánem se  sídlem v Rusku,</w:t>
      </w:r>
    </w:p>
    <w:p w14:paraId="6D1309C5" w14:textId="77777777" w:rsidR="000B4271" w:rsidRDefault="000B4271" w:rsidP="000B4271">
      <w:pPr>
        <w:numPr>
          <w:ilvl w:val="0"/>
          <w:numId w:val="20"/>
        </w:numPr>
        <w:tabs>
          <w:tab w:val="left" w:pos="3969"/>
          <w:tab w:val="right" w:leader="dot" w:pos="4962"/>
          <w:tab w:val="right" w:pos="5103"/>
          <w:tab w:val="right" w:leader="dot" w:pos="9072"/>
        </w:tabs>
        <w:ind w:left="284" w:firstLine="0"/>
        <w:jc w:val="both"/>
        <w:rPr>
          <w:rFonts w:ascii="Segoe UI" w:hAnsi="Segoe UI" w:cs="Segoe UI"/>
          <w:color w:val="000000"/>
          <w:sz w:val="20"/>
          <w:szCs w:val="20"/>
        </w:rPr>
      </w:pPr>
      <w:r>
        <w:rPr>
          <w:rFonts w:ascii="Segoe UI" w:hAnsi="Segoe UI" w:cs="Segoe UI"/>
          <w:color w:val="000000"/>
          <w:sz w:val="20"/>
          <w:szCs w:val="20"/>
        </w:rPr>
        <w:t>není z více než 50 % přímo či nepřímo vlastněn některým ze subjektů uvedených v písmeni a), ani</w:t>
      </w:r>
    </w:p>
    <w:p w14:paraId="0E6ABD0F" w14:textId="77777777" w:rsidR="000B4271" w:rsidRDefault="000B4271" w:rsidP="000B4271">
      <w:pPr>
        <w:numPr>
          <w:ilvl w:val="0"/>
          <w:numId w:val="20"/>
        </w:numPr>
        <w:tabs>
          <w:tab w:val="left" w:pos="3969"/>
          <w:tab w:val="right" w:leader="dot" w:pos="4962"/>
          <w:tab w:val="right" w:pos="5103"/>
          <w:tab w:val="right" w:leader="dot" w:pos="9072"/>
        </w:tabs>
        <w:ind w:left="284" w:firstLine="0"/>
        <w:jc w:val="both"/>
        <w:rPr>
          <w:rFonts w:ascii="Segoe UI" w:hAnsi="Segoe UI" w:cs="Segoe UI"/>
          <w:color w:val="000000"/>
          <w:sz w:val="20"/>
          <w:szCs w:val="20"/>
        </w:rPr>
      </w:pPr>
      <w:r>
        <w:rPr>
          <w:rFonts w:ascii="Segoe UI" w:hAnsi="Segoe UI" w:cs="Segoe UI"/>
          <w:color w:val="000000"/>
          <w:sz w:val="20"/>
          <w:szCs w:val="20"/>
        </w:rPr>
        <w:t>nejedná jménem nebo na pokyn některého ze subjektů uvedených v písmeni a) nebo b)</w:t>
      </w:r>
      <w:r>
        <w:rPr>
          <w:rStyle w:val="Znakapoznpodarou"/>
          <w:rFonts w:ascii="Segoe UI" w:hAnsi="Segoe UI" w:cs="Segoe UI"/>
          <w:color w:val="000000"/>
          <w:sz w:val="20"/>
          <w:szCs w:val="20"/>
        </w:rPr>
        <w:footnoteReference w:customMarkFollows="1" w:id="2"/>
        <w:t>30</w:t>
      </w:r>
      <w:r>
        <w:rPr>
          <w:rFonts w:ascii="Segoe UI" w:hAnsi="Segoe UI" w:cs="Segoe UI"/>
          <w:color w:val="000000"/>
          <w:sz w:val="20"/>
          <w:szCs w:val="20"/>
        </w:rPr>
        <w:t>;</w:t>
      </w:r>
    </w:p>
    <w:p w14:paraId="2FE3B0E8" w14:textId="77777777" w:rsidR="000B4271" w:rsidRDefault="000B4271" w:rsidP="000B4271">
      <w:pPr>
        <w:numPr>
          <w:ilvl w:val="0"/>
          <w:numId w:val="19"/>
        </w:numPr>
        <w:tabs>
          <w:tab w:val="right" w:pos="284"/>
          <w:tab w:val="right" w:leader="dot" w:pos="4962"/>
          <w:tab w:val="right" w:pos="5103"/>
          <w:tab w:val="right" w:leader="dot" w:pos="9072"/>
        </w:tabs>
        <w:spacing w:before="120"/>
        <w:ind w:left="284" w:hanging="357"/>
        <w:jc w:val="both"/>
        <w:rPr>
          <w:rFonts w:ascii="Segoe UI" w:hAnsi="Segoe UI" w:cs="Segoe UI"/>
          <w:color w:val="000000"/>
          <w:sz w:val="20"/>
          <w:szCs w:val="20"/>
        </w:rPr>
      </w:pPr>
      <w:r>
        <w:rPr>
          <w:rFonts w:ascii="Segoe UI" w:hAnsi="Segoe UI" w:cs="Segoe UI"/>
          <w:color w:val="000000"/>
          <w:sz w:val="20"/>
          <w:szCs w:val="20"/>
        </w:rPr>
        <w:t xml:space="preserve">není osobou uvedenou v sankčním seznamu v příloze nařízení Rady (EU) č. 269/2014 ze dne </w:t>
      </w:r>
      <w:r>
        <w:rPr>
          <w:rFonts w:ascii="Segoe UI" w:hAnsi="Segoe UI" w:cs="Segoe UI"/>
          <w:color w:val="000000"/>
          <w:sz w:val="20"/>
          <w:szCs w:val="20"/>
        </w:rPr>
        <w:br/>
        <w:t xml:space="preserve">17. března 2014, o omezujících opatřeních vzhledem k činnostem narušujícím nebo ohrožujícím územní celistvost, svrchovanost a nezávislost Ukrajiny (ve znění pozdějších aktualizací), </w:t>
      </w:r>
      <w:bookmarkStart w:id="8" w:name="_Hlk144299569"/>
      <w:r>
        <w:rPr>
          <w:rFonts w:ascii="Segoe UI" w:hAnsi="Segoe UI" w:cs="Segoe UI"/>
          <w:color w:val="000000"/>
          <w:sz w:val="20"/>
          <w:szCs w:val="20"/>
        </w:rPr>
        <w:t xml:space="preserve">nařízení Rady (EU) č. 208/2014, o omezujících opatřeních vůči některým osobám, subjektům, orgánům vzhledem k situaci na Ukrajině, </w:t>
      </w:r>
      <w:bookmarkEnd w:id="8"/>
      <w:r>
        <w:rPr>
          <w:rFonts w:ascii="Segoe UI" w:hAnsi="Segoe UI" w:cs="Segoe UI"/>
          <w:color w:val="000000"/>
          <w:sz w:val="20"/>
          <w:szCs w:val="20"/>
        </w:rPr>
        <w:t>nebo nařízení Rady (ES) č. 765/2006 ze dne 18. května 2006 o omezujících opatřeních vůči prezidentu Lukašenkovi a některým představitelům Běloruska (ve znění pozdějších aktualizací)</w:t>
      </w:r>
      <w:r>
        <w:rPr>
          <w:rStyle w:val="Znakapoznpodarou"/>
          <w:rFonts w:ascii="Segoe UI" w:hAnsi="Segoe UI" w:cs="Segoe UI"/>
          <w:color w:val="000000"/>
          <w:sz w:val="20"/>
          <w:szCs w:val="20"/>
        </w:rPr>
        <w:footnoteReference w:customMarkFollows="1" w:id="3"/>
        <w:t>31</w:t>
      </w:r>
      <w:r>
        <w:rPr>
          <w:rFonts w:ascii="Segoe UI" w:hAnsi="Segoe UI" w:cs="Segoe UI"/>
          <w:color w:val="000000"/>
          <w:sz w:val="20"/>
          <w:szCs w:val="20"/>
        </w:rPr>
        <w:t>;</w:t>
      </w:r>
    </w:p>
    <w:p w14:paraId="4D06808F" w14:textId="77777777" w:rsidR="000B4271" w:rsidRDefault="000B4271" w:rsidP="000B4271">
      <w:pPr>
        <w:numPr>
          <w:ilvl w:val="0"/>
          <w:numId w:val="19"/>
        </w:numPr>
        <w:tabs>
          <w:tab w:val="right" w:pos="284"/>
          <w:tab w:val="right" w:leader="dot" w:pos="4962"/>
          <w:tab w:val="right" w:pos="5103"/>
          <w:tab w:val="right" w:leader="dot" w:pos="9072"/>
        </w:tabs>
        <w:spacing w:before="120"/>
        <w:ind w:left="284" w:hanging="357"/>
        <w:jc w:val="both"/>
        <w:rPr>
          <w:rFonts w:ascii="Segoe UI" w:hAnsi="Segoe UI" w:cs="Segoe UI"/>
          <w:color w:val="000000"/>
          <w:sz w:val="20"/>
          <w:szCs w:val="20"/>
        </w:rPr>
      </w:pPr>
      <w:r>
        <w:rPr>
          <w:rFonts w:ascii="Segoe UI" w:hAnsi="Segoe UI" w:cs="Segoe UI"/>
          <w:color w:val="000000"/>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Pr>
          <w:rFonts w:ascii="Segoe UI" w:hAnsi="Segoe UI" w:cs="Segoe UI"/>
          <w:color w:val="000000"/>
          <w:sz w:val="20"/>
          <w:szCs w:val="20"/>
        </w:rPr>
        <w:br/>
        <w:t xml:space="preserve">o omezujících opatřeních vzhledem k činnostem narušujícím nebo ohrožujícím územní celistvost, svrchovanost a nezávislost Ukrajiny (ve znění pozdějších aktualizací) nebo nařízení Rady (ES) </w:t>
      </w:r>
      <w:r>
        <w:rPr>
          <w:rFonts w:ascii="Segoe UI" w:hAnsi="Segoe UI" w:cs="Segoe UI"/>
          <w:color w:val="000000"/>
          <w:sz w:val="20"/>
          <w:szCs w:val="20"/>
        </w:rPr>
        <w:br/>
        <w:t>č. 765/2006 ze dne 18. května 2006 o omezujících opatřeních vůči prezidentu Lukašenkovi a některým představitelům Běloruska (ve znění pozdějších aktualizací).</w:t>
      </w:r>
    </w:p>
    <w:p w14:paraId="0D7EC458" w14:textId="77777777" w:rsidR="000B4271" w:rsidRDefault="000B4271" w:rsidP="000B4271">
      <w:pPr>
        <w:tabs>
          <w:tab w:val="right" w:leader="dot" w:pos="3969"/>
          <w:tab w:val="right" w:leader="dot" w:pos="4962"/>
          <w:tab w:val="right" w:pos="5103"/>
          <w:tab w:val="right" w:leader="dot" w:pos="9072"/>
        </w:tabs>
        <w:spacing w:before="240" w:line="288" w:lineRule="auto"/>
        <w:jc w:val="both"/>
        <w:rPr>
          <w:rFonts w:ascii="Segoe UI" w:hAnsi="Segoe UI" w:cs="Segoe UI"/>
          <w:color w:val="000000"/>
          <w:sz w:val="20"/>
          <w:szCs w:val="20"/>
        </w:rPr>
      </w:pPr>
      <w:r>
        <w:rPr>
          <w:rFonts w:ascii="Segoe UI" w:hAnsi="Segoe UI" w:cs="Segoe UI"/>
          <w:sz w:val="20"/>
          <w:szCs w:val="20"/>
        </w:rPr>
        <w:t xml:space="preserve">V </w:t>
      </w:r>
      <w:r>
        <w:rPr>
          <w:rFonts w:ascii="Segoe UI" w:hAnsi="Segoe UI" w:cs="Segoe UI"/>
          <w:sz w:val="20"/>
          <w:szCs w:val="20"/>
          <w:highlight w:val="lightGray"/>
        </w:rPr>
        <w:t>[</w:t>
      </w:r>
      <w:r>
        <w:rPr>
          <w:rFonts w:ascii="Segoe UI" w:hAnsi="Segoe UI" w:cs="Segoe UI"/>
          <w:caps/>
          <w:sz w:val="20"/>
          <w:szCs w:val="20"/>
          <w:highlight w:val="lightGray"/>
        </w:rPr>
        <w:t>VYPLNÍ vybraný DODAVATEL</w:t>
      </w:r>
      <w:r>
        <w:rPr>
          <w:rFonts w:ascii="Segoe UI" w:hAnsi="Segoe UI" w:cs="Segoe UI"/>
          <w:sz w:val="20"/>
          <w:szCs w:val="20"/>
          <w:highlight w:val="lightGray"/>
        </w:rPr>
        <w:t>]</w:t>
      </w:r>
      <w:r>
        <w:rPr>
          <w:rFonts w:ascii="Segoe UI" w:hAnsi="Segoe UI" w:cs="Segoe UI"/>
          <w:sz w:val="20"/>
          <w:szCs w:val="20"/>
        </w:rPr>
        <w:t xml:space="preserve"> dne </w:t>
      </w:r>
      <w:r>
        <w:rPr>
          <w:rFonts w:ascii="Segoe UI" w:hAnsi="Segoe UI" w:cs="Segoe UI"/>
          <w:sz w:val="20"/>
          <w:szCs w:val="20"/>
          <w:highlight w:val="lightGray"/>
        </w:rPr>
        <w:t>[VYPLNÍ</w:t>
      </w:r>
      <w:r>
        <w:rPr>
          <w:rFonts w:ascii="Segoe UI" w:hAnsi="Segoe UI" w:cs="Segoe UI"/>
          <w:caps/>
          <w:sz w:val="20"/>
          <w:szCs w:val="20"/>
          <w:highlight w:val="lightGray"/>
        </w:rPr>
        <w:t xml:space="preserve"> vybraný</w:t>
      </w:r>
      <w:r>
        <w:rPr>
          <w:rFonts w:ascii="Segoe UI" w:hAnsi="Segoe UI" w:cs="Segoe UI"/>
          <w:sz w:val="20"/>
          <w:szCs w:val="20"/>
          <w:highlight w:val="lightGray"/>
        </w:rPr>
        <w:t xml:space="preserve"> DODAVATEL]</w:t>
      </w:r>
    </w:p>
    <w:p w14:paraId="533F2801" w14:textId="77777777" w:rsidR="000B4271" w:rsidRDefault="000B4271" w:rsidP="000B4271">
      <w:pPr>
        <w:tabs>
          <w:tab w:val="right" w:leader="dot" w:pos="3969"/>
          <w:tab w:val="right" w:leader="dot" w:pos="4962"/>
          <w:tab w:val="right" w:pos="5103"/>
          <w:tab w:val="right" w:leader="dot" w:pos="9072"/>
        </w:tabs>
        <w:spacing w:before="240" w:line="288" w:lineRule="auto"/>
        <w:jc w:val="both"/>
        <w:rPr>
          <w:rFonts w:ascii="Segoe UI" w:hAnsi="Segoe UI" w:cs="Segoe UI"/>
          <w:color w:val="000000"/>
          <w:sz w:val="20"/>
          <w:szCs w:val="20"/>
        </w:rPr>
      </w:pPr>
      <w:r>
        <w:rPr>
          <w:rFonts w:ascii="Segoe UI" w:hAnsi="Segoe UI" w:cs="Segoe UI"/>
          <w:color w:val="000000"/>
          <w:sz w:val="20"/>
          <w:szCs w:val="20"/>
        </w:rPr>
        <w:tab/>
      </w:r>
    </w:p>
    <w:p w14:paraId="38EE8581" w14:textId="77777777" w:rsidR="000B4271" w:rsidRDefault="000B4271" w:rsidP="000B4271">
      <w:pPr>
        <w:spacing w:before="120" w:line="264" w:lineRule="auto"/>
        <w:jc w:val="both"/>
        <w:rPr>
          <w:rFonts w:ascii="Segoe UI" w:eastAsia="Calibri" w:hAnsi="Segoe UI" w:cs="Segoe UI"/>
          <w:b/>
          <w:sz w:val="20"/>
          <w:szCs w:val="20"/>
        </w:rPr>
      </w:pPr>
      <w:r>
        <w:rPr>
          <w:rFonts w:ascii="Segoe UI" w:eastAsia="Calibri" w:hAnsi="Segoe UI" w:cs="Segoe UI"/>
          <w:b/>
          <w:sz w:val="20"/>
          <w:szCs w:val="20"/>
          <w:highlight w:val="lightGray"/>
        </w:rPr>
        <w:t xml:space="preserve">[VYPLNÍ </w:t>
      </w:r>
      <w:r>
        <w:rPr>
          <w:rFonts w:ascii="Segoe UI" w:eastAsia="Calibri" w:hAnsi="Segoe UI" w:cs="Segoe UI"/>
          <w:b/>
          <w:caps/>
          <w:sz w:val="20"/>
          <w:szCs w:val="20"/>
          <w:highlight w:val="lightGray"/>
        </w:rPr>
        <w:t>vybraný</w:t>
      </w:r>
      <w:r>
        <w:rPr>
          <w:rFonts w:ascii="Segoe UI" w:eastAsia="Calibri" w:hAnsi="Segoe UI" w:cs="Segoe UI"/>
          <w:caps/>
          <w:sz w:val="20"/>
          <w:szCs w:val="20"/>
          <w:highlight w:val="lightGray"/>
        </w:rPr>
        <w:t xml:space="preserve"> </w:t>
      </w:r>
      <w:r>
        <w:rPr>
          <w:rFonts w:ascii="Segoe UI" w:eastAsia="Calibri" w:hAnsi="Segoe UI" w:cs="Segoe UI"/>
          <w:b/>
          <w:sz w:val="20"/>
          <w:szCs w:val="20"/>
          <w:highlight w:val="lightGray"/>
        </w:rPr>
        <w:t>DODAVATEL – Jméno, příjmení osoby oprávněné jednat + podpis]</w:t>
      </w:r>
    </w:p>
    <w:p w14:paraId="31848938" w14:textId="77777777" w:rsidR="000B4271" w:rsidRDefault="000B4271" w:rsidP="000B4271">
      <w:pPr>
        <w:spacing w:line="360" w:lineRule="auto"/>
        <w:ind w:left="284"/>
        <w:jc w:val="both"/>
        <w:rPr>
          <w:rFonts w:ascii="Arial" w:eastAsia="Times New Roman" w:hAnsi="Arial" w:cs="Arial"/>
          <w:sz w:val="20"/>
          <w:szCs w:val="20"/>
          <w:lang w:eastAsia="cs-CZ"/>
        </w:rPr>
      </w:pPr>
    </w:p>
    <w:p w14:paraId="4490FDA3" w14:textId="77777777" w:rsidR="000B4271" w:rsidRDefault="000B4271" w:rsidP="000B4271">
      <w:pPr>
        <w:spacing w:line="360" w:lineRule="auto"/>
        <w:jc w:val="both"/>
        <w:rPr>
          <w:rFonts w:ascii="Arial" w:hAnsi="Arial" w:cs="Arial"/>
          <w:sz w:val="20"/>
          <w:szCs w:val="20"/>
        </w:rPr>
      </w:pPr>
    </w:p>
    <w:p w14:paraId="68D4FC97" w14:textId="77777777" w:rsidR="00B0410B" w:rsidRPr="00271232" w:rsidRDefault="00B0410B" w:rsidP="003F6479">
      <w:pPr>
        <w:keepNext/>
        <w:spacing w:after="120" w:line="276" w:lineRule="auto"/>
        <w:ind w:left="5760"/>
        <w:jc w:val="both"/>
        <w:outlineLvl w:val="1"/>
        <w:rPr>
          <w:rFonts w:ascii="Arial" w:eastAsia="Times New Roman" w:hAnsi="Arial" w:cs="Arial"/>
          <w:noProof w:val="0"/>
          <w:color w:val="808080"/>
          <w:sz w:val="20"/>
          <w:szCs w:val="22"/>
          <w:lang w:eastAsia="cs-CZ"/>
        </w:rPr>
      </w:pPr>
    </w:p>
    <w:sectPr w:rsidR="00B0410B" w:rsidRPr="00271232" w:rsidSect="00DF6565">
      <w:headerReference w:type="default" r:id="rId12"/>
      <w:headerReference w:type="first" r:id="rId13"/>
      <w:footerReference w:type="first" r:id="rId14"/>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63E0" w14:textId="77777777" w:rsidR="00C872A2" w:rsidRDefault="00C872A2" w:rsidP="008203F3">
      <w:r>
        <w:separator/>
      </w:r>
    </w:p>
  </w:endnote>
  <w:endnote w:type="continuationSeparator" w:id="0">
    <w:p w14:paraId="6D7292E3" w14:textId="77777777" w:rsidR="00C872A2" w:rsidRDefault="00C872A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1215D" w14:textId="77777777" w:rsidR="00C872A2" w:rsidRDefault="00C872A2" w:rsidP="008203F3">
      <w:r>
        <w:separator/>
      </w:r>
    </w:p>
  </w:footnote>
  <w:footnote w:type="continuationSeparator" w:id="0">
    <w:p w14:paraId="09E486E1" w14:textId="77777777" w:rsidR="00C872A2" w:rsidRDefault="00C872A2" w:rsidP="008203F3">
      <w:r>
        <w:continuationSeparator/>
      </w:r>
    </w:p>
  </w:footnote>
  <w:footnote w:id="1">
    <w:p w14:paraId="3301E141" w14:textId="77777777" w:rsidR="000B4271" w:rsidRDefault="000B4271" w:rsidP="000B4271">
      <w:pPr>
        <w:pStyle w:val="Textpoznpodarou"/>
        <w:rPr>
          <w:rFonts w:ascii="Segoe UI" w:hAnsi="Segoe UI" w:cs="Segoe UI"/>
          <w:sz w:val="14"/>
          <w:szCs w:val="14"/>
        </w:rPr>
      </w:pPr>
      <w:r>
        <w:rPr>
          <w:rStyle w:val="Znakapoznpodarou"/>
          <w:rFonts w:ascii="Segoe UI" w:hAnsi="Segoe UI" w:cs="Segoe UI"/>
          <w:sz w:val="16"/>
        </w:rPr>
        <w:t>29</w:t>
      </w:r>
      <w:r>
        <w:rPr>
          <w:rFonts w:ascii="Segoe UI" w:hAnsi="Segoe UI" w:cs="Segoe UI"/>
          <w:sz w:val="16"/>
          <w:szCs w:val="14"/>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095F3D52" w14:textId="77777777" w:rsidR="000B4271" w:rsidRDefault="000B4271" w:rsidP="000B4271">
      <w:pPr>
        <w:pStyle w:val="Textpoznpodarou"/>
        <w:rPr>
          <w:rFonts w:ascii="Segoe UI" w:hAnsi="Segoe UI" w:cs="Segoe UI"/>
          <w:sz w:val="16"/>
        </w:rPr>
      </w:pPr>
      <w:r>
        <w:rPr>
          <w:rStyle w:val="Znakapoznpodarou"/>
          <w:rFonts w:ascii="Segoe UI" w:hAnsi="Segoe UI" w:cs="Segoe UI"/>
          <w:sz w:val="16"/>
        </w:rPr>
        <w:t>30</w:t>
      </w:r>
      <w:r>
        <w:rPr>
          <w:rFonts w:ascii="Segoe UI" w:hAnsi="Segoe UI" w:cs="Segoe UI"/>
          <w:sz w:val="16"/>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25C023DE" w14:textId="77777777" w:rsidR="000B4271" w:rsidRDefault="000B4271" w:rsidP="000B4271">
      <w:pPr>
        <w:pStyle w:val="Textpoznpodarou"/>
        <w:rPr>
          <w:rFonts w:ascii="Segoe UI" w:hAnsi="Segoe UI" w:cs="Segoe UI"/>
          <w:sz w:val="20"/>
          <w:szCs w:val="16"/>
        </w:rPr>
      </w:pPr>
      <w:r>
        <w:rPr>
          <w:rStyle w:val="Znakapoznpodarou"/>
          <w:rFonts w:ascii="Segoe UI" w:hAnsi="Segoe UI" w:cs="Segoe UI"/>
          <w:sz w:val="16"/>
        </w:rPr>
        <w:t xml:space="preserve">31 </w:t>
      </w:r>
      <w:r>
        <w:rPr>
          <w:rFonts w:ascii="Segoe UI" w:hAnsi="Segoe UI" w:cs="Segoe UI"/>
          <w:sz w:val="16"/>
          <w:szCs w:val="16"/>
        </w:rPr>
        <w:t xml:space="preserve">Aktualizovaný seznam sankcionovaných osob je uveden například na internetových stránkách Finančního analytického úřadu zde </w:t>
      </w:r>
      <w:hyperlink r:id="rId1" w:history="1">
        <w:r>
          <w:rPr>
            <w:rStyle w:val="Hypertextovodkaz"/>
            <w:rFonts w:ascii="Segoe UI" w:hAnsi="Segoe UI" w:cs="Segoe UI"/>
            <w:sz w:val="16"/>
            <w:szCs w:val="16"/>
          </w:rPr>
          <w:t>https://www.financnianalytickyurad.cz/blog/zarazeni-dalsich-osob-na-sankcni-seznam-proti-rusku</w:t>
        </w:r>
      </w:hyperlink>
      <w:r>
        <w:rPr>
          <w:rFonts w:ascii="Segoe UI" w:hAnsi="Segoe UI" w:cs="Segoe U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B92D" w14:textId="5C1A6417" w:rsidR="00F31B1F" w:rsidRDefault="00F31B1F" w:rsidP="00F31B1F">
    <w:pPr>
      <w:pStyle w:val="Zhlav"/>
      <w:ind w:left="-993"/>
    </w:pPr>
    <w:r>
      <w:rPr>
        <w:lang w:eastAsia="cs-CZ"/>
      </w:rPr>
      <w:drawing>
        <wp:anchor distT="0" distB="0" distL="114300" distR="114300" simplePos="0" relativeHeight="251659264" behindDoc="0" locked="0" layoutInCell="1" allowOverlap="1" wp14:anchorId="180BC20A" wp14:editId="6575325F">
          <wp:simplePos x="0" y="0"/>
          <wp:positionH relativeFrom="column">
            <wp:posOffset>-102235</wp:posOffset>
          </wp:positionH>
          <wp:positionV relativeFrom="paragraph">
            <wp:posOffset>-672465</wp:posOffset>
          </wp:positionV>
          <wp:extent cx="5981700" cy="12192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0"/>
  </w:num>
  <w:num w:numId="4">
    <w:abstractNumId w:val="8"/>
  </w:num>
  <w:num w:numId="5">
    <w:abstractNumId w:val="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3"/>
  </w:num>
  <w:num w:numId="18">
    <w:abstractNumId w:val="3"/>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d.nipez.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kait.cz/autorizovane-osoby" TargetMode="External"/><Relationship Id="rId4" Type="http://schemas.openxmlformats.org/officeDocument/2006/relationships/settings" Target="settings.xml"/><Relationship Id="rId9" Type="http://schemas.openxmlformats.org/officeDocument/2006/relationships/hyperlink" Target="http://www.rzp.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99ACC0332E4A48BF36815739F12FDE"/>
        <w:category>
          <w:name w:val="Obecné"/>
          <w:gallery w:val="placeholder"/>
        </w:category>
        <w:types>
          <w:type w:val="bbPlcHdr"/>
        </w:types>
        <w:behaviors>
          <w:behavior w:val="content"/>
        </w:behaviors>
        <w:guid w:val="{956A935F-7A84-4CAA-B47F-9B0D6A1FEED9}"/>
      </w:docPartPr>
      <w:docPartBody>
        <w:p w:rsidR="007A1998" w:rsidRDefault="00C4373A" w:rsidP="00C4373A">
          <w:pPr>
            <w:pStyle w:val="CE99ACC0332E4A48BF36815739F12FDE"/>
          </w:pPr>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0949A2"/>
    <w:rsid w:val="00097672"/>
    <w:rsid w:val="00112CDE"/>
    <w:rsid w:val="00185624"/>
    <w:rsid w:val="00296DE4"/>
    <w:rsid w:val="002D0E98"/>
    <w:rsid w:val="00466AAF"/>
    <w:rsid w:val="00564E19"/>
    <w:rsid w:val="006F481B"/>
    <w:rsid w:val="007A1998"/>
    <w:rsid w:val="00C4373A"/>
    <w:rsid w:val="00C814D9"/>
    <w:rsid w:val="00D25646"/>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097672"/>
    <w:rPr>
      <w:rFonts w:ascii="Arial" w:hAnsi="Arial"/>
      <w:color w:val="auto"/>
      <w:sz w:val="20"/>
    </w:rPr>
  </w:style>
  <w:style w:type="paragraph" w:customStyle="1" w:styleId="CE99ACC0332E4A48BF36815739F12FDE">
    <w:name w:val="CE99ACC0332E4A48BF36815739F12FDE"/>
    <w:rsid w:val="00C4373A"/>
  </w:style>
  <w:style w:type="paragraph" w:customStyle="1" w:styleId="5247B2C7D20947ED89BF2CB69F36A180">
    <w:name w:val="5247B2C7D20947ED89BF2CB69F36A180"/>
    <w:rsid w:val="00097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2383</Words>
  <Characters>15028</Characters>
  <Application>Microsoft Office Word</Application>
  <DocSecurity>0</DocSecurity>
  <Lines>125</Lines>
  <Paragraphs>34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17377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74</cp:revision>
  <cp:lastPrinted>2025-03-20T09:24:00Z</cp:lastPrinted>
  <dcterms:created xsi:type="dcterms:W3CDTF">2024-01-04T12:12:00Z</dcterms:created>
  <dcterms:modified xsi:type="dcterms:W3CDTF">2025-03-20T09:24:00Z</dcterms:modified>
</cp:coreProperties>
</file>