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6F31" w14:textId="77777777" w:rsidR="00F82EBD" w:rsidRPr="00217978" w:rsidRDefault="00F82EBD" w:rsidP="009332E9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C538910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4BBDF19F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0870C601" w14:textId="2254224F" w:rsidR="00507B87" w:rsidRPr="00217978" w:rsidRDefault="005A248A" w:rsidP="005A248A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>Osobní automobil nižší střední třídy v provedení kombi</w:t>
      </w:r>
      <w:r w:rsidR="00C51D25">
        <w:rPr>
          <w:b/>
          <w:color w:val="000000" w:themeColor="text1"/>
          <w:sz w:val="36"/>
          <w:szCs w:val="40"/>
        </w:rPr>
        <w:t xml:space="preserve"> </w:t>
      </w:r>
    </w:p>
    <w:p w14:paraId="69316EC4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873375C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671F9C50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42BC8560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55558552" w14:textId="77777777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  <w:t>(dále jen „zákon“ nebo „ZZVZ“)</w:t>
      </w:r>
    </w:p>
    <w:p w14:paraId="4CE885A3" w14:textId="77777777" w:rsidR="00437D3C" w:rsidRDefault="00437D3C" w:rsidP="009332E9">
      <w:pPr>
        <w:spacing w:before="3000"/>
        <w:jc w:val="center"/>
        <w:sectPr w:rsidR="00437D3C" w:rsidSect="0047005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0F5B98CE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3D64C0D9" w14:textId="18856EBF" w:rsidR="008A6852" w:rsidRDefault="005B352B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 w:rsidR="00957D78">
        <w:instrText xml:space="preserve"> TOC \o "1-1" \h \z \u </w:instrText>
      </w:r>
      <w:r>
        <w:fldChar w:fldCharType="separate"/>
      </w:r>
      <w:hyperlink w:anchor="_Toc198702493" w:history="1">
        <w:r w:rsidR="008A6852" w:rsidRPr="005B5791">
          <w:rPr>
            <w:rStyle w:val="Hypertextovodkaz"/>
            <w:noProof/>
          </w:rPr>
          <w:t>1.</w:t>
        </w:r>
        <w:r w:rsidR="008A6852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8A6852" w:rsidRPr="005B5791">
          <w:rPr>
            <w:rStyle w:val="Hypertextovodkaz"/>
            <w:noProof/>
          </w:rPr>
          <w:t>Identifikační údaje zadavatele</w:t>
        </w:r>
        <w:r w:rsidR="008A6852">
          <w:rPr>
            <w:noProof/>
            <w:webHidden/>
          </w:rPr>
          <w:tab/>
        </w:r>
        <w:r w:rsidR="008A6852">
          <w:rPr>
            <w:noProof/>
            <w:webHidden/>
          </w:rPr>
          <w:fldChar w:fldCharType="begin"/>
        </w:r>
        <w:r w:rsidR="008A6852">
          <w:rPr>
            <w:noProof/>
            <w:webHidden/>
          </w:rPr>
          <w:instrText xml:space="preserve"> PAGEREF _Toc198702493 \h </w:instrText>
        </w:r>
        <w:r w:rsidR="008A6852">
          <w:rPr>
            <w:noProof/>
            <w:webHidden/>
          </w:rPr>
        </w:r>
        <w:r w:rsidR="008A6852"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3</w:t>
        </w:r>
        <w:r w:rsidR="008A6852">
          <w:rPr>
            <w:noProof/>
            <w:webHidden/>
          </w:rPr>
          <w:fldChar w:fldCharType="end"/>
        </w:r>
      </w:hyperlink>
    </w:p>
    <w:p w14:paraId="5D4707F7" w14:textId="6E4D9EF5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494" w:history="1">
        <w:r w:rsidRPr="005B5791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098558" w14:textId="2589A729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495" w:history="1">
        <w:r w:rsidRPr="005B5791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4D490D" w14:textId="7392D4F1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496" w:history="1">
        <w:r w:rsidRPr="005B5791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F84786" w14:textId="16A5E03D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497" w:history="1">
        <w:r w:rsidRPr="005B5791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Obchodní a jiné smluvní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DCA450" w14:textId="12F3A7D7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498" w:history="1">
        <w:r w:rsidRPr="005B5791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987996" w14:textId="0456C821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499" w:history="1">
        <w:r w:rsidRPr="005B5791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7D583D" w14:textId="40D09FE7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00" w:history="1">
        <w:r w:rsidRPr="005B5791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DAF19D0" w14:textId="1130B6ED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01" w:history="1">
        <w:r w:rsidRPr="005B5791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7E31DB" w14:textId="6711102C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02" w:history="1">
        <w:r w:rsidRPr="005B5791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4B6A9D" w14:textId="4A46412B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03" w:history="1">
        <w:r w:rsidRPr="005B5791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45CA85" w14:textId="7BC7CFC7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04" w:history="1">
        <w:r w:rsidRPr="005B5791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1774714" w14:textId="79946A9F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05" w:history="1">
        <w:r w:rsidRPr="005B5791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EEA049" w14:textId="0C6B9961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06" w:history="1">
        <w:r w:rsidRPr="005B5791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887D814" w14:textId="5908ACC2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07" w:history="1">
        <w:r w:rsidRPr="005B5791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E793CA6" w14:textId="596DEBD3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08" w:history="1">
        <w:r w:rsidRPr="005B5791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C188DCA" w14:textId="473CEA70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09" w:history="1">
        <w:r w:rsidRPr="005B5791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5043DEB" w14:textId="568F9759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10" w:history="1">
        <w:r w:rsidRPr="005B5791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EC861C6" w14:textId="77B616C0" w:rsidR="008A6852" w:rsidRDefault="008A685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8702511" w:history="1">
        <w:r w:rsidRPr="005B5791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B5791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_Toc198702511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417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EFC6D1" w14:textId="285BB715" w:rsidR="00957D78" w:rsidRDefault="005B352B" w:rsidP="009332E9">
      <w:pPr>
        <w:sectPr w:rsidR="00957D78" w:rsidSect="00470053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3AAB2FA5" w14:textId="77777777" w:rsidR="00E948F1" w:rsidRDefault="00E7387D" w:rsidP="009332E9">
      <w:pPr>
        <w:pStyle w:val="Nadpis1"/>
      </w:pPr>
      <w:bookmarkStart w:id="0" w:name="_Toc198702493"/>
      <w:r>
        <w:lastRenderedPageBreak/>
        <w:t>Identifikační údaje zadavatel</w:t>
      </w:r>
      <w:r w:rsidR="00B13913">
        <w:t>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573D57A3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44FA01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0DBE43D7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61F6F97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757DB7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308B102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6417843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ACE040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2C7D75A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7BFAC10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5376E0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A84995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4C6C753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DCBBBA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6BEBB430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77D973E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7D8DE6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55D8C3B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3388C86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C418EF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2A16460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5B536BF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17D76D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65457C0F" w14:textId="436327F7" w:rsidR="00E7387D" w:rsidRPr="00217978" w:rsidRDefault="00C51D25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2163B1">
                <w:rPr>
                  <w:rStyle w:val="Hypertextovodkaz"/>
                  <w:rFonts w:cstheme="minorBidi"/>
                </w:rPr>
                <w:t>johnova</w:t>
              </w:r>
              <w:r w:rsidRPr="002163B1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04021B6D" w14:textId="77777777" w:rsidR="00E7387D" w:rsidRPr="00DD0168" w:rsidRDefault="00E7387D" w:rsidP="009332E9">
      <w:pPr>
        <w:spacing w:after="0"/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21DC8B17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FE2D68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C4BC54B" w14:textId="065EFA8C" w:rsidR="007F54DC" w:rsidRPr="00217978" w:rsidRDefault="005A248A" w:rsidP="00651A47">
            <w:pPr>
              <w:spacing w:before="100" w:after="10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Osobní automobil nižší střední třídy v provedení kombi</w:t>
            </w:r>
          </w:p>
        </w:tc>
      </w:tr>
      <w:tr w:rsidR="007F54DC" w:rsidRPr="00217978" w14:paraId="7892758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4D0B7B7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7624B075" w14:textId="1B3AA716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422EBD">
              <w:rPr>
                <w:szCs w:val="20"/>
              </w:rPr>
              <w:t>dodávky</w:t>
            </w:r>
          </w:p>
        </w:tc>
      </w:tr>
      <w:tr w:rsidR="007F54DC" w:rsidRPr="00217978" w14:paraId="7C4A2061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5B4CEEF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4737487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03DF5596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42C9121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36C6CE26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11D39B2E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9E2FD70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4217008" w14:textId="1BAFF085" w:rsidR="0067037B" w:rsidRDefault="00C51D25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5A248A">
              <w:rPr>
                <w:szCs w:val="20"/>
              </w:rPr>
              <w:t>7</w:t>
            </w:r>
            <w:r w:rsidR="00E345FA">
              <w:rPr>
                <w:szCs w:val="20"/>
              </w:rPr>
              <w:t>/</w:t>
            </w:r>
            <w:r w:rsidR="000A4859">
              <w:rPr>
                <w:szCs w:val="20"/>
              </w:rPr>
              <w:t>202</w:t>
            </w:r>
            <w:r>
              <w:rPr>
                <w:szCs w:val="20"/>
              </w:rPr>
              <w:t>5</w:t>
            </w:r>
          </w:p>
        </w:tc>
      </w:tr>
    </w:tbl>
    <w:p w14:paraId="7DF4F6FE" w14:textId="77777777" w:rsidR="00F514FD" w:rsidRDefault="00D21F0C" w:rsidP="009332E9">
      <w:pPr>
        <w:pStyle w:val="Nadpis1"/>
      </w:pPr>
      <w:bookmarkStart w:id="1" w:name="_Toc198702494"/>
      <w:r>
        <w:t>Úvodní ustanovení</w:t>
      </w:r>
      <w:bookmarkEnd w:id="1"/>
    </w:p>
    <w:p w14:paraId="39B472D3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 xml:space="preserve">. § 27 zákona č. 134/2016 Sb. o zadávání veřejných zakázek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5AA5C891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250C3A3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612149A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512B1E7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493FD3E4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30B0BE07" w14:textId="238253C0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4D2842" w:rsidRPr="004D2842">
        <w:rPr>
          <w:szCs w:val="20"/>
        </w:rPr>
        <w:t>https://zakazky.eagri.cz/vz00020536</w:t>
      </w:r>
      <w:r w:rsidRPr="00F55DF9">
        <w:rPr>
          <w:szCs w:val="20"/>
        </w:rPr>
        <w:t>.</w:t>
      </w:r>
    </w:p>
    <w:p w14:paraId="0776D11D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7440EC5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79B7EF9D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20705FC9" w14:textId="77777777" w:rsidR="00852AB3" w:rsidRDefault="00852AB3" w:rsidP="009332E9">
      <w:pPr>
        <w:pStyle w:val="Nadpis1"/>
      </w:pPr>
      <w:bookmarkStart w:id="2" w:name="_Toc198702495"/>
      <w:r>
        <w:t>Vymezení druhu a předmětu veřejné zakázky malého rozsahu</w:t>
      </w:r>
      <w:bookmarkEnd w:id="2"/>
    </w:p>
    <w:p w14:paraId="12175E57" w14:textId="77777777" w:rsidR="00852AB3" w:rsidRDefault="0072442C" w:rsidP="00616CC6">
      <w:pPr>
        <w:pStyle w:val="Nadpis2"/>
      </w:pPr>
      <w:r>
        <w:t>Předmět plnění veřejné zakázky</w:t>
      </w:r>
    </w:p>
    <w:p w14:paraId="5C471701" w14:textId="19A848E6" w:rsidR="00DA75D7" w:rsidRPr="00655592" w:rsidRDefault="00883F86" w:rsidP="005A248A">
      <w:pPr>
        <w:rPr>
          <w:szCs w:val="20"/>
        </w:rPr>
      </w:pPr>
      <w:r w:rsidRPr="00883F86">
        <w:rPr>
          <w:color w:val="000000"/>
        </w:rPr>
        <w:t xml:space="preserve">Předmětem veřejné zakázky je </w:t>
      </w:r>
      <w:r w:rsidR="005A248A">
        <w:rPr>
          <w:color w:val="000000"/>
        </w:rPr>
        <w:t>dodávka</w:t>
      </w:r>
      <w:r w:rsidR="00C42405">
        <w:rPr>
          <w:color w:val="000000"/>
        </w:rPr>
        <w:t xml:space="preserve"> 1 kusu</w:t>
      </w:r>
      <w:r w:rsidR="005A248A">
        <w:rPr>
          <w:color w:val="000000"/>
        </w:rPr>
        <w:t xml:space="preserve"> osobního automobilu definovaného v Příloze č. 2 výzvy</w:t>
      </w:r>
      <w:r w:rsidR="00C42405">
        <w:rPr>
          <w:color w:val="000000"/>
        </w:rPr>
        <w:t xml:space="preserve"> Technická specifikace a poskytování servisních služeb ve smyslu čl. I odst. 5 pí</w:t>
      </w:r>
      <w:r w:rsidR="009955FD">
        <w:rPr>
          <w:color w:val="000000"/>
        </w:rPr>
        <w:t>s</w:t>
      </w:r>
      <w:r w:rsidR="00C42405">
        <w:rPr>
          <w:color w:val="000000"/>
        </w:rPr>
        <w:t>m. b) Závazného návrhu kupní smlouvy a Přílohy č. 5 výzvy Specifikace servisních služeb (dále také „Servisní služby“).</w:t>
      </w:r>
    </w:p>
    <w:p w14:paraId="2E4A79ED" w14:textId="25F251EB" w:rsidR="00852AB3" w:rsidRDefault="00C42405" w:rsidP="00616CC6">
      <w:pPr>
        <w:pStyle w:val="Nadpis2"/>
      </w:pPr>
      <w:r>
        <w:t>Klasifikace předmětu veřejné zakázky</w:t>
      </w:r>
    </w:p>
    <w:p w14:paraId="0E2716AD" w14:textId="54789BDF" w:rsidR="00FB75DB" w:rsidRDefault="00C42405" w:rsidP="00883F86">
      <w:r>
        <w:t>Zadavatel vymezil předmět veřejné zakázky prostřednictvím jednotného klasifikačního systému pro veřejné zakázky následovně</w:t>
      </w:r>
    </w:p>
    <w:p w14:paraId="5B8DFFDB" w14:textId="414E33CF" w:rsidR="00C42405" w:rsidRPr="00C42405" w:rsidRDefault="00C42405" w:rsidP="00883F86">
      <w:pPr>
        <w:rPr>
          <w:b/>
          <w:bCs/>
        </w:rPr>
      </w:pPr>
      <w:r w:rsidRPr="00C42405">
        <w:rPr>
          <w:b/>
          <w:bCs/>
        </w:rPr>
        <w:t>CPV předmětu plnění:</w:t>
      </w:r>
    </w:p>
    <w:p w14:paraId="76D35744" w14:textId="77777777" w:rsidR="00C42405" w:rsidRPr="00C42405" w:rsidRDefault="00C42405" w:rsidP="00C42405">
      <w:pPr>
        <w:ind w:left="142"/>
        <w:rPr>
          <w:b/>
          <w:bCs/>
        </w:rPr>
      </w:pPr>
      <w:r w:rsidRPr="00C42405">
        <w:rPr>
          <w:b/>
          <w:bCs/>
        </w:rPr>
        <w:t>Hlavní kód CPV:</w:t>
      </w:r>
    </w:p>
    <w:p w14:paraId="69B78931" w14:textId="32DA2BE9" w:rsidR="00C42405" w:rsidRDefault="00C42405" w:rsidP="00C42405">
      <w:pPr>
        <w:ind w:left="284"/>
      </w:pPr>
      <w:r w:rsidRPr="00C42405">
        <w:t>34110000-1 Osobní vozidla</w:t>
      </w:r>
    </w:p>
    <w:p w14:paraId="4F47572A" w14:textId="77777777" w:rsidR="00C42405" w:rsidRPr="00C42405" w:rsidRDefault="00C42405" w:rsidP="00C42405">
      <w:pPr>
        <w:ind w:left="142"/>
        <w:rPr>
          <w:b/>
          <w:bCs/>
        </w:rPr>
      </w:pPr>
      <w:r w:rsidRPr="00C42405">
        <w:rPr>
          <w:b/>
          <w:bCs/>
        </w:rPr>
        <w:t>Dodatečné kódy CPV:</w:t>
      </w:r>
    </w:p>
    <w:p w14:paraId="5F5D773D" w14:textId="77777777" w:rsidR="00C42405" w:rsidRDefault="00C42405" w:rsidP="00C42405">
      <w:pPr>
        <w:ind w:left="284"/>
      </w:pPr>
      <w:r w:rsidRPr="00C42405">
        <w:t>4100000-8 Motorová vozidla</w:t>
      </w:r>
    </w:p>
    <w:p w14:paraId="43080CA3" w14:textId="77777777" w:rsidR="00C42405" w:rsidRDefault="00C42405" w:rsidP="00C42405">
      <w:pPr>
        <w:ind w:left="284"/>
      </w:pPr>
      <w:r w:rsidRPr="00C42405">
        <w:t>50100000-6 Opravy a údržba vozidel a příslušenství k nim a související služby</w:t>
      </w:r>
    </w:p>
    <w:p w14:paraId="48802D90" w14:textId="33ED3308" w:rsidR="00C42405" w:rsidRDefault="00C42405" w:rsidP="00C42405">
      <w:pPr>
        <w:ind w:left="284"/>
      </w:pPr>
      <w:r w:rsidRPr="00C42405">
        <w:t>50110000-9 Opravy a údržba motorových vozidel a příslušenství k</w:t>
      </w:r>
      <w:r>
        <w:t> </w:t>
      </w:r>
      <w:r w:rsidRPr="00C42405">
        <w:t>nim</w:t>
      </w:r>
    </w:p>
    <w:p w14:paraId="0BF1B8A4" w14:textId="046597E0" w:rsidR="00C42405" w:rsidRDefault="00C42405" w:rsidP="00C42405">
      <w:pPr>
        <w:ind w:left="284"/>
      </w:pPr>
      <w:r w:rsidRPr="00C42405">
        <w:t>50112000-3 Opravy a údržba automobilů 50112100-4 Opravy automobilů</w:t>
      </w:r>
    </w:p>
    <w:p w14:paraId="2D9C1340" w14:textId="77777777" w:rsidR="0072442C" w:rsidRDefault="0072442C" w:rsidP="009332E9">
      <w:pPr>
        <w:pStyle w:val="Nadpis1"/>
      </w:pPr>
      <w:bookmarkStart w:id="3" w:name="_Toc198702496"/>
      <w:r>
        <w:t>Doba a místo plnění předmětu veřejné zakázky</w:t>
      </w:r>
      <w:bookmarkEnd w:id="3"/>
    </w:p>
    <w:p w14:paraId="579B4BF3" w14:textId="77777777" w:rsidR="00DE3C95" w:rsidRDefault="00DE3C95" w:rsidP="00616CC6">
      <w:pPr>
        <w:pStyle w:val="Nadpis2"/>
      </w:pPr>
      <w:r>
        <w:t>Doba plnění veřejné zakázky</w:t>
      </w:r>
    </w:p>
    <w:p w14:paraId="75904F75" w14:textId="6E16201C" w:rsidR="00722BC3" w:rsidRPr="000248E6" w:rsidRDefault="00584F27" w:rsidP="00AD3660">
      <w:pPr>
        <w:spacing w:after="60"/>
        <w:rPr>
          <w:b/>
        </w:rPr>
      </w:pPr>
      <w:r w:rsidRPr="00584F27">
        <w:t xml:space="preserve">Plnění bude </w:t>
      </w:r>
      <w:r w:rsidR="00C42405">
        <w:t>dodáno</w:t>
      </w:r>
      <w:r w:rsidRPr="00584F27">
        <w:t xml:space="preserve"> </w:t>
      </w:r>
      <w:r w:rsidR="00C42405" w:rsidRPr="00C42405">
        <w:rPr>
          <w:b/>
          <w:bCs/>
          <w:u w:val="single"/>
        </w:rPr>
        <w:t>do 4 měsíců</w:t>
      </w:r>
      <w:r w:rsidR="00C42405">
        <w:t xml:space="preserve"> od nabytí účinnosti kupní smlouvy</w:t>
      </w:r>
      <w:r w:rsidRPr="00584F27">
        <w:t>.</w:t>
      </w:r>
    </w:p>
    <w:p w14:paraId="01B22B48" w14:textId="77777777" w:rsidR="00DE3C95" w:rsidRDefault="00DE3C95" w:rsidP="00616CC6">
      <w:pPr>
        <w:pStyle w:val="Nadpis2"/>
      </w:pPr>
      <w:r>
        <w:t>Místo plnění veřejné zakázky</w:t>
      </w:r>
    </w:p>
    <w:p w14:paraId="2B331092" w14:textId="0E9FAF3F" w:rsidR="00D475C9" w:rsidRPr="00673662" w:rsidRDefault="00673662" w:rsidP="00673662">
      <w:pPr>
        <w:spacing w:after="60"/>
        <w:rPr>
          <w:rFonts w:cs="Arial"/>
          <w:szCs w:val="20"/>
        </w:rPr>
      </w:pPr>
      <w:r w:rsidRPr="00673662">
        <w:rPr>
          <w:szCs w:val="20"/>
        </w:rPr>
        <w:t xml:space="preserve">Místem plnění veřejné zakázky je </w:t>
      </w:r>
      <w:r>
        <w:t>sídlo zadavatele, tj. Kladruby nad Labem 1, 533 14 Kladruby nad Labem</w:t>
      </w:r>
      <w:r w:rsidR="00C42405">
        <w:t xml:space="preserve">, eventuelně </w:t>
      </w:r>
      <w:r w:rsidR="00903DCE">
        <w:t>pobočka dodavatele</w:t>
      </w:r>
      <w:r w:rsidR="00C42405">
        <w:t xml:space="preserve"> ve vzdálenosti do </w:t>
      </w:r>
      <w:r w:rsidR="007728AF">
        <w:t>7</w:t>
      </w:r>
      <w:r w:rsidR="00C42405">
        <w:t>0 km od</w:t>
      </w:r>
      <w:r w:rsidR="00903DCE">
        <w:t> </w:t>
      </w:r>
      <w:r w:rsidR="00C42405">
        <w:t>zadavatele</w:t>
      </w:r>
      <w:r w:rsidR="00903DCE">
        <w:t>.</w:t>
      </w:r>
    </w:p>
    <w:p w14:paraId="610F7958" w14:textId="23CF8661" w:rsidR="00433C7C" w:rsidRDefault="00433C7C" w:rsidP="00D12B36">
      <w:pPr>
        <w:pStyle w:val="Nadpis1"/>
      </w:pPr>
      <w:bookmarkStart w:id="4" w:name="_Toc198702497"/>
      <w:r>
        <w:t>Obchodní</w:t>
      </w:r>
      <w:r w:rsidR="00AC1239">
        <w:t xml:space="preserve"> a jiné smluvní</w:t>
      </w:r>
      <w:r>
        <w:t xml:space="preserve"> podmínky</w:t>
      </w:r>
      <w:bookmarkEnd w:id="4"/>
    </w:p>
    <w:p w14:paraId="6904894B" w14:textId="51ADA6FC" w:rsidR="00957D78" w:rsidRDefault="00941055" w:rsidP="00941055">
      <w:r>
        <w:t>Obchodní a platební podmínky plnění jsou vymezeny v závazném textu návrhu smlouvy obsaženém v Příloze č. 2 této výzvy.</w:t>
      </w:r>
      <w:r w:rsidR="00EB7221">
        <w:t xml:space="preserve"> Smlouva bude uzavřena s jedním dodavatelem.</w:t>
      </w:r>
    </w:p>
    <w:p w14:paraId="2D6495A4" w14:textId="720988B7" w:rsidR="00EB7221" w:rsidRDefault="00EB7221" w:rsidP="00941055">
      <w:r>
        <w:t>Dodavatel nepředkládá do nabídky závazný návrh smlouvy. Závazný návrh smlouvy bude s vybraným dodavatelem vyplněn před uzavřením smlouvy.</w:t>
      </w:r>
    </w:p>
    <w:p w14:paraId="779919B4" w14:textId="1986F6FC" w:rsidR="00EB7221" w:rsidRPr="00957D78" w:rsidRDefault="00EB7221" w:rsidP="00941055">
      <w:r>
        <w:lastRenderedPageBreak/>
        <w:t>Podáním nabídky do výběrového řízení dodavatel závazný návrh smlouvy bezvýhradně akceptuje.</w:t>
      </w:r>
    </w:p>
    <w:p w14:paraId="6E13E17A" w14:textId="77777777" w:rsidR="00433C7C" w:rsidRDefault="00433C7C" w:rsidP="009332E9">
      <w:pPr>
        <w:pStyle w:val="Nadpis1"/>
      </w:pPr>
      <w:bookmarkStart w:id="5" w:name="_Toc198702498"/>
      <w:r>
        <w:t>Požadavky zadavatele na prokázání kvalifikace</w:t>
      </w:r>
      <w:bookmarkEnd w:id="5"/>
    </w:p>
    <w:p w14:paraId="0BBE005B" w14:textId="77777777" w:rsidR="004E5F33" w:rsidRPr="004E5F33" w:rsidRDefault="004E5F33" w:rsidP="00E11852">
      <w:pPr>
        <w:keepNext/>
      </w:pPr>
      <w:r w:rsidRPr="004E5F33">
        <w:t>Kvalifikovaným pro plnění veřejné zakázky je dodavatel, který splní následující podmínky:</w:t>
      </w:r>
    </w:p>
    <w:p w14:paraId="1320606E" w14:textId="77777777" w:rsidR="00681DB2" w:rsidRDefault="00681DB2" w:rsidP="00616CC6">
      <w:pPr>
        <w:pStyle w:val="Nadpis2"/>
      </w:pPr>
      <w:r>
        <w:t>Splnění způsobilosti a kvalifikace</w:t>
      </w:r>
    </w:p>
    <w:p w14:paraId="4C6A9C32" w14:textId="77777777" w:rsidR="0097425E" w:rsidRDefault="0097425E" w:rsidP="0097425E"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základní způsobilost splňuje.</w:t>
      </w:r>
    </w:p>
    <w:p w14:paraId="5C20065E" w14:textId="30F70F8B" w:rsidR="00681DB2" w:rsidRPr="0057220B" w:rsidRDefault="0097425E" w:rsidP="0097425E">
      <w:r w:rsidRPr="00134803">
        <w:rPr>
          <w:b/>
          <w:color w:val="FF0000"/>
        </w:rPr>
        <w:t>Splnění všech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zadávací dokumentace.</w:t>
      </w:r>
    </w:p>
    <w:p w14:paraId="53A13D02" w14:textId="77777777" w:rsidR="00681DB2" w:rsidRDefault="00681DB2" w:rsidP="00616CC6">
      <w:pPr>
        <w:pStyle w:val="Nadpis2"/>
      </w:pPr>
      <w:r>
        <w:t>Prokázání základní způsobilosti dle § 75 ZZVZ</w:t>
      </w:r>
    </w:p>
    <w:p w14:paraId="6BAE4F0A" w14:textId="77777777" w:rsidR="004E5F33" w:rsidRPr="000E2B07" w:rsidRDefault="00681DB2" w:rsidP="00681DB2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191B2041" w14:textId="77777777" w:rsidR="005802EB" w:rsidRPr="000E2B07" w:rsidRDefault="00A831AE" w:rsidP="00616CC6">
      <w:pPr>
        <w:pStyle w:val="Nadpis2"/>
      </w:pPr>
      <w:r w:rsidRPr="000E2B07">
        <w:t>Prokázání profesní způsobilosti</w:t>
      </w:r>
    </w:p>
    <w:p w14:paraId="3D5067D7" w14:textId="610E6BBA" w:rsidR="003F25A3" w:rsidRDefault="003F25A3" w:rsidP="003F25A3">
      <w:pPr>
        <w:spacing w:after="60"/>
      </w:pPr>
      <w:r>
        <w:t>Účastník k prokázání splnění profesních kvalifikačních předpokladů předlož</w:t>
      </w:r>
      <w:r w:rsidR="0097425E">
        <w:t>í</w:t>
      </w:r>
      <w:r>
        <w:t>:</w:t>
      </w:r>
    </w:p>
    <w:p w14:paraId="50AC81D0" w14:textId="77777777" w:rsidR="003F25A3" w:rsidRDefault="003F25A3" w:rsidP="003F25A3">
      <w:pPr>
        <w:pStyle w:val="Odstavecseseznamem"/>
        <w:numPr>
          <w:ilvl w:val="0"/>
          <w:numId w:val="2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04FCF92F" w14:textId="1BEDE028" w:rsidR="003F25A3" w:rsidRPr="005B0642" w:rsidRDefault="003F25A3" w:rsidP="003F25A3">
      <w:pPr>
        <w:pStyle w:val="Odstavecseseznamem"/>
        <w:numPr>
          <w:ilvl w:val="0"/>
          <w:numId w:val="2"/>
        </w:numPr>
        <w:ind w:left="56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 </w:t>
      </w:r>
      <w:r>
        <w:t xml:space="preserve">oprávnění k podnikání podle zvláštních právních předpisů v rozsahu odpovídajícím předmětu veřejné zakázky, zejména doklad prokazující příslušné živnostenské oprávnění, osvědčení či licenci, dodavatel splní tuto podmínku předložením </w:t>
      </w:r>
      <w:r w:rsidRPr="001364EC">
        <w:rPr>
          <w:b/>
        </w:rPr>
        <w:t xml:space="preserve">živnostenského </w:t>
      </w:r>
      <w:r w:rsidRPr="005B0642">
        <w:rPr>
          <w:b/>
        </w:rPr>
        <w:t xml:space="preserve">oprávnění </w:t>
      </w:r>
      <w:r w:rsidR="00AD6D55" w:rsidRPr="00AD6D55">
        <w:rPr>
          <w:b/>
        </w:rPr>
        <w:t>Velkoobchod a maloobchod</w:t>
      </w:r>
      <w:r>
        <w:rPr>
          <w:bCs/>
        </w:rPr>
        <w:t xml:space="preserve"> </w:t>
      </w:r>
      <w:r>
        <w:t xml:space="preserve">nebo </w:t>
      </w:r>
      <w:r w:rsidR="00AD6D55" w:rsidRPr="00AD6D55">
        <w:rPr>
          <w:b/>
          <w:bCs/>
        </w:rPr>
        <w:t>Zprostředkování obchodu a služeb</w:t>
      </w:r>
      <w:r w:rsidR="00AD6D55">
        <w:t xml:space="preserve"> apod.</w:t>
      </w:r>
    </w:p>
    <w:p w14:paraId="7E389619" w14:textId="77F033C6" w:rsidR="00E11852" w:rsidRDefault="003F25A3" w:rsidP="003F25A3">
      <w:pPr>
        <w:pStyle w:val="Odstavecseseznamem"/>
        <w:ind w:left="567"/>
        <w:contextualSpacing w:val="0"/>
        <w:rPr>
          <w:szCs w:val="20"/>
        </w:rPr>
      </w:pPr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5BE333B1" w14:textId="77777777" w:rsidR="00553F3E" w:rsidRDefault="00E11852" w:rsidP="00E11852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3D163965" w14:textId="3BC45886" w:rsidR="009955FD" w:rsidRPr="00553F3E" w:rsidRDefault="009955FD" w:rsidP="00E11852">
      <w:r w:rsidRPr="00CD0A80">
        <w:t xml:space="preserve">Právo prokázat </w:t>
      </w:r>
      <w:r>
        <w:t>profesní</w:t>
      </w:r>
      <w:r w:rsidRPr="00CD0A80">
        <w:t xml:space="preserve"> způsobilost jiným způsobem podle čl. 6.1</w:t>
      </w:r>
      <w:r>
        <w:t xml:space="preserve"> výzvy</w:t>
      </w:r>
      <w:r w:rsidRPr="00CD0A80">
        <w:t xml:space="preserve"> tím není dotčeno.</w:t>
      </w:r>
    </w:p>
    <w:p w14:paraId="3642FBD2" w14:textId="77777777" w:rsidR="005802EB" w:rsidRDefault="005802EB" w:rsidP="00616CC6">
      <w:pPr>
        <w:pStyle w:val="Nadpis2"/>
      </w:pPr>
      <w:r>
        <w:t>Prokázání ekonomické kvalifikace</w:t>
      </w:r>
    </w:p>
    <w:p w14:paraId="42C37E0E" w14:textId="77777777" w:rsidR="00E54221" w:rsidRPr="00156C50" w:rsidRDefault="001706A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</w:t>
      </w:r>
      <w:r w:rsidRPr="00156C50">
        <w:t>konsolidovaného čestného prohlášení viz Příloha č. 3 této výzvy.</w:t>
      </w:r>
    </w:p>
    <w:p w14:paraId="60C7C5F6" w14:textId="77777777" w:rsidR="005802EB" w:rsidRPr="00156C50" w:rsidRDefault="005802EB" w:rsidP="007A48EA">
      <w:pPr>
        <w:pStyle w:val="Nadpis2"/>
      </w:pPr>
      <w:r w:rsidRPr="00156C50">
        <w:lastRenderedPageBreak/>
        <w:t>Prokázání technické kvalifikace</w:t>
      </w:r>
    </w:p>
    <w:p w14:paraId="6724F96D" w14:textId="549094DA" w:rsidR="001A56BF" w:rsidRPr="0097425E" w:rsidRDefault="00436BCA" w:rsidP="00E11852">
      <w:pPr>
        <w:spacing w:after="60"/>
      </w:pPr>
      <w:r w:rsidRPr="00E54221">
        <w:t xml:space="preserve">Účastník je povinen v rámci prokázání splnění podmínek </w:t>
      </w:r>
      <w:r w:rsidR="00BB26BB">
        <w:t>technické</w:t>
      </w:r>
      <w:r w:rsidRPr="00E54221">
        <w:t xml:space="preserve"> kvalifikace předložit </w:t>
      </w:r>
      <w:r w:rsidRPr="00E54221">
        <w:rPr>
          <w:b/>
        </w:rPr>
        <w:t>čestné prohlášení</w:t>
      </w:r>
      <w:r w:rsidRPr="00E54221">
        <w:t xml:space="preserve"> o své </w:t>
      </w:r>
      <w:r w:rsidR="00BB26BB">
        <w:t>technické</w:t>
      </w:r>
      <w:r w:rsidRPr="00E54221">
        <w:t xml:space="preserve"> způsobilosti splnit veřejnou zakázku. </w:t>
      </w:r>
      <w:r w:rsidRPr="004E5F33">
        <w:t>Vzor</w:t>
      </w:r>
      <w:r>
        <w:t xml:space="preserve"> </w:t>
      </w:r>
      <w:r w:rsidRPr="00156C50">
        <w:t>konsolidovaného čestného prohlášení viz Příloha č. 3 této výzvy</w:t>
      </w:r>
      <w:r w:rsidR="0097425E">
        <w:t>.</w:t>
      </w:r>
    </w:p>
    <w:p w14:paraId="632BDBD6" w14:textId="77777777" w:rsidR="005802EB" w:rsidRDefault="005802EB" w:rsidP="00616CC6">
      <w:pPr>
        <w:pStyle w:val="Nadpis2"/>
      </w:pPr>
      <w:r w:rsidRPr="00217978">
        <w:t>Pravost a stáří dokladů prokazujících splnění kvalifikace</w:t>
      </w:r>
    </w:p>
    <w:p w14:paraId="249D7D35" w14:textId="77777777" w:rsidR="00CF27D3" w:rsidRDefault="00CF27D3" w:rsidP="009332E9">
      <w:r>
        <w:t>Dodavatel prokazuje kvalifikaci doklady, které splňují náležitosti dle ustanovení § 86 zákona.</w:t>
      </w:r>
    </w:p>
    <w:p w14:paraId="48D921A9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CED2E34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42126A9D" w14:textId="77777777" w:rsidR="005802EB" w:rsidRDefault="005802EB" w:rsidP="00616CC6">
      <w:pPr>
        <w:pStyle w:val="Nadpis2"/>
      </w:pPr>
      <w:r w:rsidRPr="00217978">
        <w:t>Další způsoby prokázání kvalifikace</w:t>
      </w:r>
    </w:p>
    <w:p w14:paraId="5790EE30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E0E8984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3EBE843D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2DE3F898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DC4B04B" w14:textId="77777777" w:rsidR="00C06A6D" w:rsidRPr="00C06A6D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1DABF541" w14:textId="77777777" w:rsidR="005802EB" w:rsidRDefault="005802EB" w:rsidP="00616CC6">
      <w:pPr>
        <w:pStyle w:val="Nadpis2"/>
      </w:pPr>
      <w:r w:rsidRPr="00217978">
        <w:t>Změny kvalifikace účastníka výběrového řízení</w:t>
      </w:r>
    </w:p>
    <w:p w14:paraId="68EC8771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5514E92B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podmínky kvalifikace jsou nadále splněny,</w:t>
      </w:r>
    </w:p>
    <w:p w14:paraId="1E41FEC6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64D7B7D6" w14:textId="77777777" w:rsidR="00C06A6D" w:rsidRDefault="00C06A6D" w:rsidP="00B12306">
      <w:pPr>
        <w:pStyle w:val="Odstavecseseznamem"/>
        <w:numPr>
          <w:ilvl w:val="0"/>
          <w:numId w:val="3"/>
        </w:numPr>
        <w:ind w:left="567" w:hanging="357"/>
        <w:contextualSpacing w:val="0"/>
      </w:pPr>
      <w:r>
        <w:t>nedošlo k ovlivnění kritérií hodnocení nabídek.</w:t>
      </w:r>
    </w:p>
    <w:p w14:paraId="42B478A4" w14:textId="77777777" w:rsidR="00C06A6D" w:rsidRPr="00C06A6D" w:rsidRDefault="00C06A6D" w:rsidP="009332E9">
      <w:r>
        <w:lastRenderedPageBreak/>
        <w:t>Dozví-li se zadavatel, že dodavatel nesplnil shora uvedenou povinnost, zadavatel jej bezodkladně vyloučí z výběrového řízení.</w:t>
      </w:r>
    </w:p>
    <w:p w14:paraId="2084F4A3" w14:textId="77777777" w:rsidR="00433C7C" w:rsidRDefault="005802EB" w:rsidP="009332E9">
      <w:pPr>
        <w:pStyle w:val="Nadpis1"/>
      </w:pPr>
      <w:bookmarkStart w:id="6" w:name="_Toc198702499"/>
      <w:r w:rsidRPr="005802EB">
        <w:t xml:space="preserve">Vysvětlení výzvy, změna nebo doplnění </w:t>
      </w:r>
      <w:r w:rsidR="00430530">
        <w:t>podmínek výběrového řízení</w:t>
      </w:r>
      <w:bookmarkEnd w:id="6"/>
    </w:p>
    <w:p w14:paraId="27A9C884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377E2561" w14:textId="77777777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</w:p>
    <w:p w14:paraId="7D6CC144" w14:textId="77777777" w:rsidR="005802EB" w:rsidRDefault="005802EB" w:rsidP="009332E9">
      <w:pPr>
        <w:pStyle w:val="Nadpis1"/>
      </w:pPr>
      <w:bookmarkStart w:id="7" w:name="_Toc468714628"/>
      <w:bookmarkStart w:id="8" w:name="_Toc479323370"/>
      <w:bookmarkStart w:id="9" w:name="_Toc482593860"/>
      <w:bookmarkStart w:id="10" w:name="_Toc198702500"/>
      <w:r w:rsidRPr="00217978">
        <w:t>Další požadavky a upozornění zadavatele</w:t>
      </w:r>
      <w:bookmarkEnd w:id="7"/>
      <w:bookmarkEnd w:id="8"/>
      <w:bookmarkEnd w:id="9"/>
      <w:bookmarkEnd w:id="10"/>
    </w:p>
    <w:p w14:paraId="503F5566" w14:textId="7D30B3A1" w:rsidR="007D5219" w:rsidRDefault="00FF2F71" w:rsidP="009332E9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28BC0219" w14:textId="77777777" w:rsidR="007D5219" w:rsidRDefault="007D5219" w:rsidP="009332E9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50FAD04D" w14:textId="13F9627F" w:rsidR="00AC1239" w:rsidRPr="007D5219" w:rsidRDefault="00AC1239" w:rsidP="009332E9">
      <w:r>
        <w:t>Z</w:t>
      </w:r>
      <w:r w:rsidRPr="00AC1239">
        <w:t>adavatel si vyhrazuje právo požadovat po dodavateli předložení dokladů prokazujících, že nabízené plnění splňuje minimální či nabídnuté požadavky stanovené v</w:t>
      </w:r>
      <w:r>
        <w:t>e výzvě k podávání nabídek</w:t>
      </w:r>
      <w:r w:rsidRPr="00AC1239">
        <w:t>.</w:t>
      </w:r>
      <w:r>
        <w:t xml:space="preserve"> Z</w:t>
      </w:r>
      <w:r w:rsidRPr="00AC1239">
        <w:t xml:space="preserve">adavatel si dále vyhrazuje právo požadovat po dodavateli informaci a doklady o způsobu zajištění poskytovaných Servisních služeb. </w:t>
      </w:r>
      <w:r w:rsidR="007728AF">
        <w:t>Z</w:t>
      </w:r>
      <w:r w:rsidRPr="00AC1239">
        <w:t>adavatel v takovém případě bude postupovat</w:t>
      </w:r>
      <w:r>
        <w:t xml:space="preserve"> obdobně</w:t>
      </w:r>
      <w:r w:rsidRPr="00AC1239">
        <w:t xml:space="preserve"> dle § 46 odst. 1 Zákona. Dodavatel je tak povinen ve lhůtě stanovené</w:t>
      </w:r>
      <w:r>
        <w:t xml:space="preserve"> z</w:t>
      </w:r>
      <w:r w:rsidRPr="00AC1239">
        <w:t>adavatelem předložit produktové listy konkrétních výrobků, které budou obsahovat alespoň označení výrobce zboží, přesný typ nabízeného zboží a ostatní údaje prokazující splnění požadavků stanovených v</w:t>
      </w:r>
      <w:r>
        <w:t> </w:t>
      </w:r>
      <w:r w:rsidRPr="00AC1239">
        <w:t>podmínkách</w:t>
      </w:r>
      <w:r>
        <w:t xml:space="preserve"> výběrového řízení.</w:t>
      </w:r>
    </w:p>
    <w:p w14:paraId="4FA93CF7" w14:textId="77777777" w:rsidR="005802EB" w:rsidRDefault="005802EB" w:rsidP="007A48EA">
      <w:pPr>
        <w:pStyle w:val="Nadpis1"/>
        <w:keepLines/>
      </w:pPr>
      <w:bookmarkStart w:id="11" w:name="_Toc468714629"/>
      <w:bookmarkStart w:id="12" w:name="_Toc479323371"/>
      <w:bookmarkStart w:id="13" w:name="_Toc482593861"/>
      <w:bookmarkStart w:id="14" w:name="_Toc198702501"/>
      <w:r w:rsidRPr="00217978">
        <w:t>Prohlídka místa plnění</w:t>
      </w:r>
      <w:bookmarkEnd w:id="11"/>
      <w:bookmarkEnd w:id="12"/>
      <w:bookmarkEnd w:id="13"/>
      <w:bookmarkEnd w:id="14"/>
    </w:p>
    <w:p w14:paraId="2A94BF4D" w14:textId="3F580C29" w:rsidR="007D5219" w:rsidRPr="007D5219" w:rsidRDefault="0080484C" w:rsidP="00BA2B27">
      <w:r w:rsidRPr="00F23BD4">
        <w:t>Prohlídka místa plnění se s ohledem na předmět plnění veřejné zakázky neuskuteční.</w:t>
      </w:r>
    </w:p>
    <w:p w14:paraId="277BB235" w14:textId="77777777" w:rsidR="005802EB" w:rsidRDefault="005802EB" w:rsidP="009332E9">
      <w:pPr>
        <w:pStyle w:val="Nadpis1"/>
      </w:pPr>
      <w:bookmarkStart w:id="15" w:name="_Toc198702502"/>
      <w:r w:rsidRPr="005802EB">
        <w:t>Jistota</w:t>
      </w:r>
      <w:bookmarkEnd w:id="15"/>
    </w:p>
    <w:p w14:paraId="4F706ECC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27577641" w14:textId="77777777" w:rsidR="005802EB" w:rsidRDefault="005802EB" w:rsidP="009332E9">
      <w:pPr>
        <w:pStyle w:val="Nadpis1"/>
      </w:pPr>
      <w:bookmarkStart w:id="16" w:name="_Toc198702503"/>
      <w:r>
        <w:t>Nabídka</w:t>
      </w:r>
      <w:bookmarkEnd w:id="16"/>
    </w:p>
    <w:p w14:paraId="616075E6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4C97F409" w14:textId="77777777" w:rsidR="005802EB" w:rsidRDefault="005802EB" w:rsidP="00616CC6">
      <w:pPr>
        <w:pStyle w:val="Nadpis2"/>
      </w:pPr>
      <w:r>
        <w:lastRenderedPageBreak/>
        <w:t>Lhůta vázanosti nabídkou</w:t>
      </w:r>
    </w:p>
    <w:p w14:paraId="7C79E44B" w14:textId="77777777" w:rsidR="007D5219" w:rsidRPr="007D5219" w:rsidRDefault="007D5219" w:rsidP="009332E9">
      <w:r w:rsidRPr="007D5219">
        <w:t xml:space="preserve">Zadavatel </w:t>
      </w:r>
      <w:r w:rsidR="006813EC">
        <w:t>ne</w:t>
      </w:r>
      <w:r w:rsidRPr="007D5219">
        <w:t>stanovuje za</w:t>
      </w:r>
      <w:r w:rsidR="006813EC">
        <w:t>dávací lhůtu.</w:t>
      </w:r>
    </w:p>
    <w:p w14:paraId="6B380814" w14:textId="77777777" w:rsidR="005802EB" w:rsidRDefault="005802EB" w:rsidP="00616CC6">
      <w:pPr>
        <w:pStyle w:val="Nadpis2"/>
      </w:pPr>
      <w:r>
        <w:t>Obsah nabídky</w:t>
      </w:r>
    </w:p>
    <w:p w14:paraId="5F9AEAC3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552D32A6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1FCF527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fax, osoba oprávněná jednat jménem účastníka (statutární orgán) a bankovní spojení s uvedením čísla účtu.</w:t>
      </w:r>
    </w:p>
    <w:p w14:paraId="2055B3C2" w14:textId="77777777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12DDE41C" w14:textId="08C7DE32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0F48EA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584B659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2F546CAB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54D9AB05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</w:t>
      </w:r>
      <w:r w:rsidR="00B54FCA">
        <w:rPr>
          <w:b/>
          <w:szCs w:val="20"/>
        </w:rPr>
        <w:t> </w:t>
      </w:r>
      <w:r w:rsidRPr="00F9282B">
        <w:rPr>
          <w:b/>
          <w:szCs w:val="20"/>
        </w:rPr>
        <w:t>prokázání</w:t>
      </w:r>
      <w:r w:rsidR="00B54FCA">
        <w:rPr>
          <w:b/>
          <w:szCs w:val="20"/>
        </w:rPr>
        <w:t xml:space="preserve"> způsobilosti</w:t>
      </w:r>
      <w:r w:rsidRPr="00F9282B">
        <w:rPr>
          <w:b/>
          <w:szCs w:val="20"/>
        </w:rPr>
        <w:t xml:space="preserve"> kvalifikace</w:t>
      </w:r>
    </w:p>
    <w:p w14:paraId="3D82C2EC" w14:textId="77777777" w:rsidR="007D5219" w:rsidRPr="00F9282B" w:rsidRDefault="001B2E25" w:rsidP="009332E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>
        <w:rPr>
          <w:szCs w:val="20"/>
        </w:rPr>
        <w:t>vatelem požadované kvalifikace.</w:t>
      </w:r>
    </w:p>
    <w:p w14:paraId="004D02AA" w14:textId="77777777" w:rsidR="005F6252" w:rsidRDefault="005F6252" w:rsidP="005F6252">
      <w:pPr>
        <w:pStyle w:val="Odstavecseseznamem"/>
        <w:keepNext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942BD4">
        <w:rPr>
          <w:b/>
          <w:szCs w:val="20"/>
        </w:rPr>
        <w:t>Čestné prohlášení ke společensky odpovědnému plnění veřejné zakázky</w:t>
      </w:r>
    </w:p>
    <w:p w14:paraId="256BE969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37E616B8" w14:textId="77777777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11027434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26309CD3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31FD0B64" w14:textId="77777777" w:rsidR="005802EB" w:rsidRDefault="005802EB" w:rsidP="00616CC6">
      <w:pPr>
        <w:pStyle w:val="Nadpis2"/>
      </w:pPr>
      <w:r>
        <w:t>Formální úprava nabídky</w:t>
      </w:r>
    </w:p>
    <w:p w14:paraId="53AAD2C5" w14:textId="77777777" w:rsidR="00D06BC6" w:rsidRDefault="00D06BC6" w:rsidP="00B12306">
      <w:pPr>
        <w:pStyle w:val="Odstavecseseznamem"/>
        <w:numPr>
          <w:ilvl w:val="0"/>
          <w:numId w:val="1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5B64A86E" w14:textId="77777777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</w:p>
    <w:p w14:paraId="3F9E6E22" w14:textId="77777777" w:rsidR="000C3635" w:rsidRDefault="000C3635" w:rsidP="00B12306">
      <w:pPr>
        <w:pStyle w:val="Odstavecseseznamem"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3BF3F6F4" w14:textId="79783865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 w:rsidRPr="003326AD">
        <w:t>.</w:t>
      </w:r>
    </w:p>
    <w:p w14:paraId="1955B800" w14:textId="77777777" w:rsidR="00D06BC6" w:rsidRPr="00647F53" w:rsidRDefault="00D06BC6" w:rsidP="00B12306">
      <w:pPr>
        <w:pStyle w:val="Odstavecseseznamem"/>
        <w:keepNext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088084D0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 xml:space="preserve">prosté kopii. Výtisk „Kopie“ musí </w:t>
      </w:r>
      <w:r w:rsidRPr="00CD0A80">
        <w:lastRenderedPageBreak/>
        <w:t>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4573C481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05465166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75AD62EF" w14:textId="6C88AAF9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7" w:name="_Toc459112185"/>
      <w:bookmarkStart w:id="18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17"/>
      <w:bookmarkEnd w:id="18"/>
      <w:r w:rsidR="003F5117">
        <w:rPr>
          <w:szCs w:val="24"/>
        </w:rPr>
        <w:t>O</w:t>
      </w:r>
      <w:r w:rsidR="003F5117" w:rsidRPr="00DD3B19">
        <w:rPr>
          <w:szCs w:val="24"/>
        </w:rPr>
        <w:t xml:space="preserve">ceněný soupis </w:t>
      </w:r>
      <w:r w:rsidR="003F5117">
        <w:rPr>
          <w:szCs w:val="24"/>
        </w:rPr>
        <w:t>plnění</w:t>
      </w:r>
      <w:r w:rsidR="003F5117" w:rsidRPr="00DD3B19">
        <w:rPr>
          <w:szCs w:val="24"/>
        </w:rPr>
        <w:t xml:space="preserve"> </w:t>
      </w:r>
      <w:r w:rsidR="000F48EA">
        <w:rPr>
          <w:szCs w:val="24"/>
        </w:rPr>
        <w:t>–</w:t>
      </w:r>
      <w:r w:rsidR="003F5117" w:rsidRPr="00DD3B19">
        <w:rPr>
          <w:szCs w:val="24"/>
        </w:rPr>
        <w:t xml:space="preserve"> </w:t>
      </w:r>
      <w:r w:rsidR="00C15E81">
        <w:rPr>
          <w:szCs w:val="24"/>
        </w:rPr>
        <w:t>Položkový r</w:t>
      </w:r>
      <w:r w:rsidR="003F5117">
        <w:rPr>
          <w:szCs w:val="24"/>
        </w:rPr>
        <w:t>ozpočet účastník výběrového řízení předloží</w:t>
      </w:r>
      <w:r w:rsidR="003F5117" w:rsidRPr="00DD3B19">
        <w:rPr>
          <w:szCs w:val="24"/>
        </w:rPr>
        <w:t xml:space="preserve"> v datovém</w:t>
      </w:r>
      <w:r w:rsidR="003F5117">
        <w:rPr>
          <w:szCs w:val="24"/>
        </w:rPr>
        <w:t xml:space="preserve"> formátu shodném s formátem, ve </w:t>
      </w:r>
      <w:r w:rsidR="003F5117" w:rsidRPr="00DD3B19">
        <w:rPr>
          <w:szCs w:val="24"/>
        </w:rPr>
        <w:t xml:space="preserve">kterém byl poskytnut </w:t>
      </w:r>
      <w:r w:rsidR="003F5117">
        <w:rPr>
          <w:szCs w:val="24"/>
        </w:rPr>
        <w:t>slepý ceník</w:t>
      </w:r>
      <w:r w:rsidR="003F5117" w:rsidRPr="00DD3B19">
        <w:rPr>
          <w:szCs w:val="24"/>
        </w:rPr>
        <w:t xml:space="preserve"> jako součást </w:t>
      </w:r>
      <w:r w:rsidR="003F5117">
        <w:rPr>
          <w:szCs w:val="24"/>
        </w:rPr>
        <w:t>výzvy</w:t>
      </w:r>
      <w:r w:rsidR="003F5117" w:rsidRPr="00DD3B19">
        <w:rPr>
          <w:szCs w:val="24"/>
        </w:rPr>
        <w:t xml:space="preserve"> s exportem nabídky. V případě rozporu mezi elektronickou a tištěnou verzí platí verze tištěná.</w:t>
      </w:r>
    </w:p>
    <w:p w14:paraId="4B1DAADE" w14:textId="77777777" w:rsidR="00D201C7" w:rsidRDefault="00D06BC6" w:rsidP="00D201C7">
      <w:pPr>
        <w:keepNext/>
        <w:rPr>
          <w:b/>
          <w:szCs w:val="20"/>
        </w:rPr>
      </w:pPr>
      <w:r w:rsidRPr="005153C3">
        <w:rPr>
          <w:b/>
        </w:rPr>
        <w:t>Nabídka bude předložena v uzavřené a neporušené obálce opatřené na uzavření razítky Dodavatele.</w:t>
      </w:r>
      <w:r>
        <w:t xml:space="preserve"> Na obálce bude uvedeno IČO a adresa účastníka, na níž je možné</w:t>
      </w:r>
      <w:r w:rsidR="00D201C7">
        <w:t xml:space="preserve"> </w:t>
      </w:r>
      <w:r>
        <w:t>zaslat vyrozumění, že jeho nabídka byla podána po uplynutí lhůty pro podání nabídek.</w:t>
      </w:r>
      <w:r w:rsidR="00D201C7" w:rsidRPr="00D201C7">
        <w:rPr>
          <w:b/>
          <w:szCs w:val="20"/>
        </w:rPr>
        <w:t xml:space="preserve"> </w:t>
      </w:r>
    </w:p>
    <w:p w14:paraId="0F839AFA" w14:textId="30551544" w:rsidR="00D201C7" w:rsidRDefault="00D201C7" w:rsidP="00D201C7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D201C7" w:rsidRPr="00535673" w14:paraId="0E770640" w14:textId="77777777" w:rsidTr="00815DBA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DD15B4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2A966CAA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67D37A2A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702973E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970F445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7D57F798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32C27E3A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A714239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0665AB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1C7" w:rsidRPr="00535673" w14:paraId="0901225F" w14:textId="77777777" w:rsidTr="00815DBA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0737706A" w14:textId="77777777" w:rsidR="00D201C7" w:rsidRPr="00535673" w:rsidRDefault="00D201C7" w:rsidP="00815DB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74E03798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58C1BF0C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BCB20E1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AB91255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1C7" w:rsidRPr="00535673" w14:paraId="2AE53D9D" w14:textId="77777777" w:rsidTr="00815DBA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0B9041AD" w14:textId="77777777" w:rsidR="00D201C7" w:rsidRPr="00535673" w:rsidRDefault="00D201C7" w:rsidP="00815DB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38342EF0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44F983A8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33C8F09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5481F4B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1C7" w:rsidRPr="00535673" w14:paraId="580B79D9" w14:textId="77777777" w:rsidTr="00815DBA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77980CF" w14:textId="77777777" w:rsidR="00D201C7" w:rsidRPr="00535673" w:rsidRDefault="00D201C7" w:rsidP="00815DB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4B4F57B2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3DE420FB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D20470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B0132EC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1C7" w:rsidRPr="00535673" w14:paraId="5898D071" w14:textId="77777777" w:rsidTr="00815DBA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4B4E6C2C" w14:textId="77777777" w:rsidR="00D201C7" w:rsidRPr="00535673" w:rsidRDefault="00D201C7" w:rsidP="00815DB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1A98B4DF" w14:textId="77777777" w:rsidR="00D201C7" w:rsidRPr="00535673" w:rsidRDefault="00D201C7" w:rsidP="00815DBA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6F5F7D2A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3D51B044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01E3EBDC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1FDC1185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1C7" w:rsidRPr="00535673" w14:paraId="746F5B26" w14:textId="77777777" w:rsidTr="00815DBA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816793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1C7" w:rsidRPr="00535673" w14:paraId="3D853F9D" w14:textId="77777777" w:rsidTr="00815DBA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6F08BE9B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D201C7" w:rsidRPr="00535673" w14:paraId="0987D3EA" w14:textId="77777777" w:rsidTr="00815DBA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3BE634E4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D201C7" w:rsidRPr="00535673" w14:paraId="44B4E66C" w14:textId="77777777" w:rsidTr="00815DBA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3AD97D9E" w14:textId="090F9E5F" w:rsidR="00D201C7" w:rsidRPr="0056145E" w:rsidRDefault="0097425E" w:rsidP="00815DBA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Osobní automobil nižší střední třídy v provedení kombi</w:t>
            </w:r>
          </w:p>
        </w:tc>
      </w:tr>
      <w:tr w:rsidR="00D201C7" w:rsidRPr="00535673" w14:paraId="5DBD0617" w14:textId="77777777" w:rsidTr="00815DBA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F896C5" w14:textId="77777777" w:rsidR="00D201C7" w:rsidRPr="0056145E" w:rsidRDefault="00D201C7" w:rsidP="00815DBA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D201C7" w:rsidRPr="00535673" w14:paraId="7E8C85E6" w14:textId="77777777" w:rsidTr="00815DBA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379F8A61" w14:textId="7A5E9C94" w:rsidR="00D201C7" w:rsidRPr="0056145E" w:rsidRDefault="00D201C7" w:rsidP="00815DBA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>
              <w:rPr>
                <w:sz w:val="18"/>
                <w:szCs w:val="18"/>
              </w:rPr>
              <w:t>1</w:t>
            </w:r>
            <w:r w:rsidR="0097425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/2025</w:t>
            </w:r>
          </w:p>
        </w:tc>
      </w:tr>
      <w:tr w:rsidR="00D201C7" w:rsidRPr="00535673" w14:paraId="5B5B5A73" w14:textId="77777777" w:rsidTr="00815DBA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F9C083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1C7" w:rsidRPr="00535673" w14:paraId="5F3BCC79" w14:textId="77777777" w:rsidTr="00815DBA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5AA9C72A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E4A8AD9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4CBD7296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1AE1B079" w14:textId="77777777" w:rsidR="00D201C7" w:rsidRPr="00535673" w:rsidRDefault="00D201C7" w:rsidP="00815DB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D201C7" w:rsidRPr="00535673" w14:paraId="415D0E9B" w14:textId="77777777" w:rsidTr="00815DBA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142038D8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33165C0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091941D5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8FF3C02" w14:textId="77777777" w:rsidR="00D201C7" w:rsidRDefault="00D201C7" w:rsidP="00815DB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62ADD1F8" w14:textId="77777777" w:rsidR="00D201C7" w:rsidRPr="00535673" w:rsidRDefault="00D201C7" w:rsidP="00815DB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D201C7" w:rsidRPr="00535673" w14:paraId="10F80538" w14:textId="77777777" w:rsidTr="00815DBA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A061F49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47EAF83B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C41B891" w14:textId="77777777" w:rsidR="00D201C7" w:rsidRPr="00535673" w:rsidRDefault="00D201C7" w:rsidP="00815DB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05250F2" w14:textId="77777777" w:rsidR="00D201C7" w:rsidRPr="00535673" w:rsidRDefault="00D201C7" w:rsidP="00815DB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</w:tbl>
    <w:p w14:paraId="17B96376" w14:textId="15ECFCC1" w:rsidR="00D06BC6" w:rsidRDefault="00D06BC6" w:rsidP="009332E9"/>
    <w:p w14:paraId="51451A1D" w14:textId="77777777" w:rsidR="001F0158" w:rsidRDefault="001F0158" w:rsidP="009613C3">
      <w:pPr>
        <w:pStyle w:val="Nadpis1"/>
      </w:pPr>
      <w:bookmarkStart w:id="19" w:name="_Toc483393644"/>
      <w:bookmarkStart w:id="20" w:name="_Toc198702504"/>
      <w:r>
        <w:t>Hodnotící kritéria</w:t>
      </w:r>
      <w:bookmarkEnd w:id="19"/>
      <w:bookmarkEnd w:id="20"/>
    </w:p>
    <w:p w14:paraId="63079E87" w14:textId="77777777" w:rsidR="001F0158" w:rsidRDefault="001F0158" w:rsidP="00616CC6">
      <w:pPr>
        <w:pStyle w:val="Nadpis2"/>
      </w:pPr>
      <w:r>
        <w:t>Hodnotící kritéria</w:t>
      </w:r>
    </w:p>
    <w:p w14:paraId="4214EAB5" w14:textId="77777777" w:rsidR="00356E7A" w:rsidRDefault="00356E7A" w:rsidP="00356E7A">
      <w:r>
        <w:t>Hodnotícím kritériem je nejnižší nabídková cena v Kč bez DPH.</w:t>
      </w:r>
    </w:p>
    <w:p w14:paraId="255B38C7" w14:textId="377D0CAD" w:rsidR="001B2E25" w:rsidRPr="00F03C72" w:rsidRDefault="00356E7A" w:rsidP="00356E7A">
      <w:pPr>
        <w:rPr>
          <w:szCs w:val="20"/>
        </w:rPr>
      </w:pPr>
      <w:r>
        <w:t>Zadavatel bude hodnotit celkovou nabídkovou cenu v Kč bez DPH, proto zadavatel upozorňuje účastníka na řádné vyplnění nabídkové ceny do Krycího listu v požadované struktuře.</w:t>
      </w:r>
    </w:p>
    <w:p w14:paraId="379E01A9" w14:textId="77777777" w:rsidR="001B2E25" w:rsidRPr="0062309A" w:rsidRDefault="001B2E25" w:rsidP="001B2E25">
      <w:pPr>
        <w:pStyle w:val="Nadpis2"/>
      </w:pPr>
      <w:r w:rsidRPr="0062309A">
        <w:lastRenderedPageBreak/>
        <w:t>Výsledné pořadí nabídek</w:t>
      </w:r>
    </w:p>
    <w:p w14:paraId="43B2824B" w14:textId="1CD7ADED" w:rsidR="001F0158" w:rsidRPr="00ED002A" w:rsidRDefault="00356E7A" w:rsidP="001B2E25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323D3F2E" w14:textId="77777777" w:rsidR="00DF1F81" w:rsidRDefault="00DF1F81" w:rsidP="009332E9">
      <w:pPr>
        <w:pStyle w:val="Nadpis1"/>
      </w:pPr>
      <w:bookmarkStart w:id="21" w:name="_Toc198702505"/>
      <w:r>
        <w:t>Požadavky na zpracování nabídkové ceny</w:t>
      </w:r>
      <w:bookmarkEnd w:id="21"/>
    </w:p>
    <w:p w14:paraId="5B92165F" w14:textId="5C51F176" w:rsidR="007E74F4" w:rsidRDefault="007E74F4" w:rsidP="007E74F4">
      <w:r>
        <w:t>Nabídkovou cenou se pro účely výběrového řízení rozumí</w:t>
      </w:r>
      <w:r w:rsidR="00AC1239">
        <w:t xml:space="preserve"> celková</w:t>
      </w:r>
      <w:r>
        <w:t xml:space="preserve"> cena za splnění předmětu veřejné zakázky</w:t>
      </w:r>
      <w:r w:rsidR="009955FD">
        <w:t xml:space="preserve"> sestávající z</w:t>
      </w:r>
      <w:r w:rsidR="00AC1239">
        <w:t>:</w:t>
      </w:r>
    </w:p>
    <w:p w14:paraId="084175DA" w14:textId="34F023D3" w:rsidR="00AC1239" w:rsidRDefault="00AC1239" w:rsidP="00AC1239">
      <w:pPr>
        <w:pStyle w:val="Odstavecseseznamem"/>
        <w:numPr>
          <w:ilvl w:val="0"/>
          <w:numId w:val="20"/>
        </w:numPr>
      </w:pPr>
      <w:r>
        <w:t xml:space="preserve">cena za 1 kus nabízeného osobního vozidla definovaného </w:t>
      </w:r>
      <w:r w:rsidR="00903DCE" w:rsidRPr="00903DCE">
        <w:t>parametry</w:t>
      </w:r>
      <w:r w:rsidRPr="00903DCE">
        <w:t xml:space="preserve"> 1-</w:t>
      </w:r>
      <w:r w:rsidR="00903DCE" w:rsidRPr="00903DCE">
        <w:t>7</w:t>
      </w:r>
      <w:r w:rsidR="007728AF">
        <w:t>1</w:t>
      </w:r>
      <w:r w:rsidR="00903DCE" w:rsidRPr="00903DCE">
        <w:t xml:space="preserve"> Přílohy</w:t>
      </w:r>
      <w:r w:rsidR="00903DCE">
        <w:t xml:space="preserve"> č. 2</w:t>
      </w:r>
    </w:p>
    <w:p w14:paraId="4E669889" w14:textId="77777777" w:rsidR="004D2842" w:rsidRDefault="004D2842" w:rsidP="004D2842">
      <w:pPr>
        <w:pStyle w:val="Odstavecseseznamem"/>
      </w:pPr>
    </w:p>
    <w:p w14:paraId="6D414F74" w14:textId="025BDE92" w:rsidR="00AC1239" w:rsidRPr="004D2842" w:rsidRDefault="00AC1239" w:rsidP="004D2842">
      <w:pPr>
        <w:pStyle w:val="Odstavecseseznamem"/>
        <w:numPr>
          <w:ilvl w:val="0"/>
          <w:numId w:val="20"/>
        </w:numPr>
      </w:pPr>
      <w:r w:rsidRPr="004D2842">
        <w:t>cena za poskytnutí servisních služeb k 1 kusu nabízeného osobního vozidla.</w:t>
      </w:r>
    </w:p>
    <w:p w14:paraId="2249E67F" w14:textId="77777777" w:rsidR="004D2842" w:rsidRDefault="004D2842" w:rsidP="004D2842"/>
    <w:p w14:paraId="0E7125D0" w14:textId="4084D69A" w:rsidR="007E74F4" w:rsidRPr="004D2842" w:rsidRDefault="007E74F4" w:rsidP="004D2842">
      <w:r w:rsidRPr="004D2842">
        <w:t>Cenové</w:t>
      </w:r>
      <w:r w:rsidR="004D2842">
        <w:t xml:space="preserve"> </w:t>
      </w:r>
      <w:r w:rsidRPr="004D2842">
        <w:t xml:space="preserve">údaje </w:t>
      </w:r>
      <w:r w:rsidR="00AC1239" w:rsidRPr="004D2842">
        <w:t xml:space="preserve">uvede dodavatel </w:t>
      </w:r>
      <w:r w:rsidR="004D2842">
        <w:t>v</w:t>
      </w:r>
      <w:r w:rsidRPr="004D2842">
        <w:t xml:space="preserve"> Příloze č. 1</w:t>
      </w:r>
      <w:r w:rsidR="004D2842">
        <w:t xml:space="preserve"> </w:t>
      </w:r>
      <w:r w:rsidRPr="004D2842">
        <w:t>– Krycí list nabídky</w:t>
      </w:r>
    </w:p>
    <w:p w14:paraId="25C4543C" w14:textId="77777777" w:rsidR="007E74F4" w:rsidRDefault="007E74F4" w:rsidP="007E74F4">
      <w:pPr>
        <w:keepNext/>
        <w:spacing w:after="60"/>
      </w:pPr>
      <w:r>
        <w:t>Nabídka musí obsahovat cenu za předmět veřejné zakázky v tomto členění:</w:t>
      </w:r>
    </w:p>
    <w:p w14:paraId="77E05A0F" w14:textId="77777777" w:rsidR="007E74F4" w:rsidRDefault="007E74F4" w:rsidP="007E74F4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cena bez DPH v Kč</w:t>
      </w:r>
    </w:p>
    <w:p w14:paraId="74EBF09A" w14:textId="77777777" w:rsidR="007E74F4" w:rsidRDefault="007E74F4" w:rsidP="007E74F4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DPH v Kč</w:t>
      </w:r>
    </w:p>
    <w:p w14:paraId="1A7A273A" w14:textId="77777777" w:rsidR="007E74F4" w:rsidRDefault="007E74F4" w:rsidP="007E74F4">
      <w:pPr>
        <w:pStyle w:val="Odstavecseseznamem"/>
        <w:numPr>
          <w:ilvl w:val="0"/>
          <w:numId w:val="5"/>
        </w:numPr>
      </w:pPr>
      <w:r>
        <w:t xml:space="preserve">celková cena i s DPH v Kč </w:t>
      </w:r>
    </w:p>
    <w:p w14:paraId="345552C9" w14:textId="187B7AD6" w:rsidR="007E74F4" w:rsidRDefault="007E74F4" w:rsidP="007E74F4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4855BBF7" w14:textId="695EC82A" w:rsidR="007E74F4" w:rsidRDefault="007E74F4" w:rsidP="007E74F4">
      <w:r>
        <w:t xml:space="preserve">Nabídková cena </w:t>
      </w:r>
      <w:r w:rsidR="00AC1239">
        <w:t xml:space="preserve">za specifikované plnění bude cenou </w:t>
      </w:r>
      <w:r>
        <w:t xml:space="preserve">maximální a konečnou. Nabídková </w:t>
      </w:r>
      <w:r w:rsidRPr="003A0AA6">
        <w:rPr>
          <w:szCs w:val="20"/>
        </w:rPr>
        <w:t>cena bude překročitelná v případě, dojde-li v průběhu realizace k navýšení sazby DPH při změně právní předpisů.</w:t>
      </w:r>
    </w:p>
    <w:p w14:paraId="1C18CF7F" w14:textId="77777777" w:rsidR="007E74F4" w:rsidRDefault="007E74F4" w:rsidP="007E74F4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50DA54E0" w14:textId="7EDCE9AA" w:rsidR="003326AD" w:rsidRPr="003326AD" w:rsidRDefault="007E74F4" w:rsidP="007E74F4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62F6EF10" w14:textId="77777777" w:rsidR="00DF1F81" w:rsidRDefault="00DF1F81" w:rsidP="009332E9">
      <w:pPr>
        <w:pStyle w:val="Nadpis1"/>
      </w:pPr>
      <w:bookmarkStart w:id="22" w:name="_Toc198702506"/>
      <w:r>
        <w:t>Podmínky a lhůta pro podání nabídek</w:t>
      </w:r>
      <w:bookmarkEnd w:id="22"/>
    </w:p>
    <w:p w14:paraId="363E22E9" w14:textId="77777777" w:rsidR="00DF1F81" w:rsidRDefault="00DF1F81" w:rsidP="00616CC6">
      <w:pPr>
        <w:pStyle w:val="Nadpis2"/>
      </w:pPr>
      <w:r>
        <w:t>Podmínky pro podání nabídek</w:t>
      </w:r>
    </w:p>
    <w:p w14:paraId="08CE2648" w14:textId="77777777" w:rsidR="00973167" w:rsidRDefault="00973167" w:rsidP="009332E9">
      <w:r>
        <w:t>Účastník může v rámci této veřejné zakázky podat pouze jednu nabídku v českém</w:t>
      </w:r>
      <w:r w:rsidR="001760EA">
        <w:t xml:space="preserve"> nebo slovenském jazyce, a to v </w:t>
      </w:r>
      <w:r>
        <w:t>elektronické</w:t>
      </w:r>
      <w:r w:rsidR="001760EA">
        <w:t xml:space="preserve"> či listinné</w:t>
      </w:r>
      <w:r>
        <w:t xml:space="preserve"> podobě.</w:t>
      </w:r>
    </w:p>
    <w:p w14:paraId="679F3F44" w14:textId="77777777" w:rsidR="00973167" w:rsidRDefault="00973167" w:rsidP="009332E9">
      <w:r>
        <w:t>V případě podání společné nabídky budou uvedeny identifikační údaje všech účastníků.</w:t>
      </w:r>
    </w:p>
    <w:p w14:paraId="634B0CDC" w14:textId="77777777" w:rsidR="00973167" w:rsidRPr="00973167" w:rsidRDefault="009662BD" w:rsidP="009332E9">
      <w:r>
        <w:t>Pokud účastník podá více nabídek samostatně nebo společně s dalšími účastníky,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5139491C" w14:textId="77777777" w:rsidR="00DF1F81" w:rsidRDefault="00DF1F81" w:rsidP="00616CC6">
      <w:pPr>
        <w:pStyle w:val="Nadpis2"/>
      </w:pPr>
      <w:r>
        <w:lastRenderedPageBreak/>
        <w:t>Lhůta pro podání nabídek</w:t>
      </w:r>
    </w:p>
    <w:p w14:paraId="1DB6944F" w14:textId="77777777" w:rsidR="00E23A2A" w:rsidRPr="00CD0A80" w:rsidRDefault="00E23A2A" w:rsidP="00D12B36">
      <w:pPr>
        <w:keepNext/>
      </w:pPr>
      <w:r w:rsidRPr="00CD0A80">
        <w:t>Nabídky se podávají ve lhůtě pro podání nabídek.</w:t>
      </w:r>
    </w:p>
    <w:p w14:paraId="00646C13" w14:textId="679CC2DD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4D2842">
        <w:rPr>
          <w:b/>
        </w:rPr>
        <w:t>1</w:t>
      </w:r>
      <w:r w:rsidR="00C32C00">
        <w:rPr>
          <w:b/>
        </w:rPr>
        <w:t>. </w:t>
      </w:r>
      <w:r w:rsidR="0076417D">
        <w:rPr>
          <w:b/>
        </w:rPr>
        <w:t>7</w:t>
      </w:r>
      <w:r w:rsidR="00C32C00">
        <w:rPr>
          <w:b/>
        </w:rPr>
        <w:t>. </w:t>
      </w:r>
      <w:r w:rsidR="006813EC">
        <w:rPr>
          <w:b/>
        </w:rPr>
        <w:t>202</w:t>
      </w:r>
      <w:r w:rsidR="00FF65A1">
        <w:rPr>
          <w:b/>
        </w:rPr>
        <w:t>5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EB6742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2792D26C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469F3195" w14:textId="7A9548FA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r w:rsidR="000B7E35">
        <w:t>zadavatele,</w:t>
      </w:r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643DF9C4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38A3CFD6" w14:textId="656BD6B0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0F48EA">
        <w:rPr>
          <w:szCs w:val="20"/>
        </w:rPr>
        <w:t>–</w:t>
      </w:r>
      <w:r w:rsidR="00EA6B3C" w:rsidRPr="007306EA">
        <w:rPr>
          <w:szCs w:val="20"/>
        </w:rPr>
        <w:t xml:space="preserve">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7F691357" w14:textId="77777777" w:rsidR="00E23A2A" w:rsidRDefault="00E23A2A" w:rsidP="009332E9">
      <w:r w:rsidRPr="00CD0A80">
        <w:t>a to tak, aby byla doručena do konce výše uvedené lhůty.</w:t>
      </w:r>
    </w:p>
    <w:p w14:paraId="7D17DF32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17DA8544" w14:textId="77777777" w:rsidR="00DF1F81" w:rsidRDefault="00DF1F81" w:rsidP="009332E9">
      <w:pPr>
        <w:pStyle w:val="Nadpis1"/>
      </w:pPr>
      <w:bookmarkStart w:id="23" w:name="_Toc198702507"/>
      <w:r>
        <w:t>Otevírání obálek s</w:t>
      </w:r>
      <w:r w:rsidR="003B08DB">
        <w:t> </w:t>
      </w:r>
      <w:r>
        <w:t>nabídkami</w:t>
      </w:r>
      <w:bookmarkEnd w:id="23"/>
    </w:p>
    <w:p w14:paraId="35373E2C" w14:textId="77777777" w:rsidR="003B08DB" w:rsidRDefault="003B08DB" w:rsidP="009332E9">
      <w:r>
        <w:t>Otevírání obálek s podanými nabídkami proběhne ihned po uplynutí lhůty pro podání nabídek.</w:t>
      </w:r>
    </w:p>
    <w:p w14:paraId="2358E7DE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24C3E6DF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0A7CCDD6" w14:textId="77777777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bezodkladně účastníkovi výběrového řízení oznámení o jeho vyloučení s odůvodněním.</w:t>
      </w:r>
    </w:p>
    <w:p w14:paraId="70F12F88" w14:textId="77777777" w:rsidR="00DF1F81" w:rsidRDefault="00DF1F81" w:rsidP="009332E9">
      <w:pPr>
        <w:pStyle w:val="Nadpis1"/>
      </w:pPr>
      <w:bookmarkStart w:id="24" w:name="_Toc198702508"/>
      <w:r>
        <w:t>Součinnosti při uzavření smlouvy</w:t>
      </w:r>
      <w:bookmarkEnd w:id="24"/>
    </w:p>
    <w:p w14:paraId="6FB9555C" w14:textId="77777777" w:rsidR="003B08DB" w:rsidRDefault="003B08DB" w:rsidP="009332E9">
      <w:r>
        <w:t xml:space="preserve">Zadavatel doplní návrh smlouvy o chybějící údaje, v souladu s nabídkou, a zašle smlouvu v listinné 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340CAC6C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653F8AC4" w14:textId="77777777" w:rsidR="00DF1F81" w:rsidRDefault="00C32736" w:rsidP="009332E9">
      <w:pPr>
        <w:pStyle w:val="Nadpis1"/>
      </w:pPr>
      <w:bookmarkStart w:id="25" w:name="_Toc198702509"/>
      <w:r>
        <w:t>Komunikace se zadavatelem</w:t>
      </w:r>
      <w:bookmarkEnd w:id="25"/>
    </w:p>
    <w:p w14:paraId="51BB71BF" w14:textId="7CD1E4B6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5509B8" w:rsidRPr="003B08DB">
        <w:t>telefonicky</w:t>
      </w:r>
      <w:r w:rsidRPr="003B08DB">
        <w:t xml:space="preserve"> apod.) je vyloučen.</w:t>
      </w:r>
    </w:p>
    <w:p w14:paraId="1F077F7C" w14:textId="77777777" w:rsidR="00C32736" w:rsidRDefault="00C32736" w:rsidP="009332E9">
      <w:pPr>
        <w:pStyle w:val="Nadpis1"/>
      </w:pPr>
      <w:bookmarkStart w:id="26" w:name="_Toc198702510"/>
      <w:r>
        <w:t>Závěrečná ustanovení, práva a výhrady zadavatele</w:t>
      </w:r>
      <w:bookmarkEnd w:id="26"/>
    </w:p>
    <w:p w14:paraId="7DB27C61" w14:textId="4DD863CF" w:rsidR="005F6252" w:rsidRDefault="005F6252" w:rsidP="005F6252">
      <w:r>
        <w:t xml:space="preserve">Zadavatel s odkazem na </w:t>
      </w:r>
      <w:proofErr w:type="spellStart"/>
      <w:r>
        <w:t>ust</w:t>
      </w:r>
      <w:proofErr w:type="spellEnd"/>
      <w:r>
        <w:t xml:space="preserve">. § 6 odst. 4 ZZVZ uplatňuje společensky odpovědné zadávání. Prvek odpovědného zadávání a povinnosti dodavatele zadavatel definoval v Příloze č. </w:t>
      </w:r>
      <w:r w:rsidR="00AF5039">
        <w:t>3</w:t>
      </w:r>
      <w:r>
        <w:t>.</w:t>
      </w:r>
    </w:p>
    <w:p w14:paraId="435A8841" w14:textId="77777777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0329F890" w14:textId="77777777" w:rsidR="00600A4E" w:rsidRDefault="00600A4E" w:rsidP="009332E9">
      <w:r>
        <w:lastRenderedPageBreak/>
        <w:t>Zadavatel si vyhrazuje právo zrušit výběrové řízení bez udání důvodu nebo právo všechny podané nabídky odmítnout.</w:t>
      </w:r>
    </w:p>
    <w:p w14:paraId="7C3162B5" w14:textId="77777777" w:rsidR="00600A4E" w:rsidRDefault="00600A4E" w:rsidP="009332E9">
      <w:r>
        <w:t xml:space="preserve">Zadavatel </w:t>
      </w:r>
      <w:r w:rsidRPr="00843199">
        <w:rPr>
          <w:b/>
        </w:rPr>
        <w:t>nepřipouští varianty nabídek</w:t>
      </w:r>
      <w:r>
        <w:t>.</w:t>
      </w:r>
    </w:p>
    <w:p w14:paraId="0DA4B504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  <w:r w:rsidR="003134BD">
        <w:t xml:space="preserve"> </w:t>
      </w:r>
      <w:r w:rsidR="003134BD" w:rsidRPr="00241246">
        <w:rPr>
          <w:szCs w:val="20"/>
        </w:rPr>
        <w:t xml:space="preserve">Zadavatel upozorňuje, že </w:t>
      </w:r>
      <w:r w:rsidR="003134BD">
        <w:rPr>
          <w:szCs w:val="20"/>
        </w:rPr>
        <w:t>může vyzvat</w:t>
      </w:r>
      <w:r w:rsidR="003134BD" w:rsidRPr="00241246">
        <w:rPr>
          <w:szCs w:val="20"/>
        </w:rPr>
        <w:t xml:space="preserve"> vybraného dodavatele k</w:t>
      </w:r>
      <w:r w:rsidR="003134BD">
        <w:rPr>
          <w:szCs w:val="20"/>
        </w:rPr>
        <w:t xml:space="preserve"> </w:t>
      </w:r>
      <w:r w:rsidR="003134BD" w:rsidRPr="00241246">
        <w:rPr>
          <w:szCs w:val="20"/>
        </w:rPr>
        <w:t xml:space="preserve">předložení </w:t>
      </w:r>
      <w:r w:rsidR="003134BD" w:rsidRPr="00241246">
        <w:rPr>
          <w:b/>
          <w:szCs w:val="20"/>
          <w:u w:val="single"/>
        </w:rPr>
        <w:t>originálů</w:t>
      </w:r>
      <w:r w:rsidR="003134BD" w:rsidRPr="00241246">
        <w:rPr>
          <w:szCs w:val="20"/>
        </w:rPr>
        <w:t xml:space="preserve">, nebo </w:t>
      </w:r>
      <w:r w:rsidR="003134BD" w:rsidRPr="00241246">
        <w:rPr>
          <w:b/>
          <w:szCs w:val="20"/>
          <w:u w:val="single"/>
        </w:rPr>
        <w:t>ověřených kopií dokladů o jeho kvalifikaci</w:t>
      </w:r>
      <w:r w:rsidR="003134BD" w:rsidRPr="00241246">
        <w:rPr>
          <w:szCs w:val="20"/>
        </w:rPr>
        <w:t>, pokud je již nemá k</w:t>
      </w:r>
      <w:r w:rsidR="003134BD">
        <w:rPr>
          <w:szCs w:val="20"/>
        </w:rPr>
        <w:t xml:space="preserve"> </w:t>
      </w:r>
      <w:r w:rsidR="003134BD" w:rsidRPr="00241246">
        <w:rPr>
          <w:szCs w:val="20"/>
        </w:rPr>
        <w:t>dispozici.</w:t>
      </w:r>
    </w:p>
    <w:p w14:paraId="02C11D38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458A9AC0" w14:textId="77777777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715F9470" w14:textId="77777777" w:rsidR="00600A4E" w:rsidRDefault="00600A4E" w:rsidP="009332E9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předpisů, pokud tento souhlas výslovně neodepře s odkazem na obchodní tajemství, či jiné zákonem předpokládané skutečnosti.</w:t>
      </w:r>
    </w:p>
    <w:p w14:paraId="7ACE719D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5CE987A6" w14:textId="77777777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zákona č. 134/2016 Sb., o </w:t>
      </w:r>
      <w:r w:rsidRPr="00B80130">
        <w:rPr>
          <w:rFonts w:ascii="Verdana" w:hAnsi="Verdana"/>
          <w:sz w:val="20"/>
        </w:rPr>
        <w:t xml:space="preserve">zadávání veřejných zakázek.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0605CFA3" w14:textId="77777777" w:rsidR="00600A4E" w:rsidRDefault="00600A4E" w:rsidP="009332E9">
      <w:r>
        <w:t>Nabídka musí být zpracována písemně v českém nebo slovenském jazyce. Nabídka nesmí obsahovat opravy a přepisy, které by zadavatele mohly uvést v omyl. Veškerá komunikace se zadavatelem bude probíhat výhradně v českém nebo slovenském jazyce.</w:t>
      </w:r>
    </w:p>
    <w:p w14:paraId="27FB5C02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7105909D" w14:textId="77777777" w:rsidR="00600A4E" w:rsidRPr="00843199" w:rsidRDefault="00600A4E" w:rsidP="009332E9">
      <w:pPr>
        <w:rPr>
          <w:b/>
        </w:rPr>
      </w:pPr>
      <w:r w:rsidRPr="00843199">
        <w:rPr>
          <w:b/>
        </w:rPr>
        <w:t>Zadavatel nepřipouští podání nabídek na částečné plnění předmětu veřejné zakázky.</w:t>
      </w:r>
    </w:p>
    <w:p w14:paraId="7D89D9B5" w14:textId="43A41293" w:rsidR="00600A4E" w:rsidRDefault="00600A4E" w:rsidP="009332E9">
      <w:r>
        <w:t xml:space="preserve">V případě shodné ekonomické výhodnosti nabídek více účastníků </w:t>
      </w:r>
      <w:r w:rsidR="009955FD">
        <w:t xml:space="preserve">rozhoduje nejnižší nabídková cena dle </w:t>
      </w:r>
      <w:proofErr w:type="spellStart"/>
      <w:r w:rsidR="009955FD">
        <w:t>ust</w:t>
      </w:r>
      <w:proofErr w:type="spellEnd"/>
      <w:r w:rsidR="009955FD">
        <w:t>. 13 odst. 1 písm. a) cena za 1 kus nabízeného osobního vozidla</w:t>
      </w:r>
      <w:r>
        <w:t>.</w:t>
      </w:r>
    </w:p>
    <w:p w14:paraId="2C71EC91" w14:textId="77777777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298D3B3D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2A264E5B" w14:textId="77777777" w:rsidR="00600A4E" w:rsidRDefault="00600A4E" w:rsidP="009332E9">
      <w:r>
        <w:t>Účastník nemá právo podávat námitky.</w:t>
      </w:r>
    </w:p>
    <w:p w14:paraId="1A98BF92" w14:textId="77777777" w:rsidR="003B08DB" w:rsidRPr="003B08DB" w:rsidRDefault="00600A4E" w:rsidP="009332E9">
      <w:r>
        <w:lastRenderedPageBreak/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70F9F497" w14:textId="77777777" w:rsidR="00C32736" w:rsidRDefault="00C32736" w:rsidP="00D12B36">
      <w:pPr>
        <w:pStyle w:val="Nadpis1"/>
      </w:pPr>
      <w:bookmarkStart w:id="27" w:name="_Toc198702511"/>
      <w:r>
        <w:t>Seznam příloh</w:t>
      </w:r>
      <w:bookmarkEnd w:id="27"/>
    </w:p>
    <w:p w14:paraId="402939AB" w14:textId="7ACD5C9A" w:rsidR="003B08DB" w:rsidRDefault="003B08DB" w:rsidP="002C48F3">
      <w:pPr>
        <w:pStyle w:val="Odstavecseseznamem"/>
        <w:keepNext/>
        <w:numPr>
          <w:ilvl w:val="0"/>
          <w:numId w:val="6"/>
        </w:numPr>
        <w:ind w:left="425" w:hanging="425"/>
        <w:contextualSpacing w:val="0"/>
      </w:pPr>
      <w:r>
        <w:t xml:space="preserve">Příloha č. 1 </w:t>
      </w:r>
      <w:r w:rsidR="0030738E">
        <w:t>-</w:t>
      </w:r>
      <w:r>
        <w:t xml:space="preserve"> Krycí list nabídky</w:t>
      </w:r>
    </w:p>
    <w:p w14:paraId="089635DB" w14:textId="6FDED353" w:rsidR="00D573C6" w:rsidRDefault="003B08DB" w:rsidP="002C48F3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t xml:space="preserve">Příloha č. 2 </w:t>
      </w:r>
      <w:r w:rsidR="0030738E">
        <w:t>-</w:t>
      </w:r>
      <w:r>
        <w:t xml:space="preserve"> Návrh </w:t>
      </w:r>
      <w:r w:rsidR="005F4329">
        <w:t>smlouvy</w:t>
      </w:r>
    </w:p>
    <w:p w14:paraId="292D9E00" w14:textId="50EC2426" w:rsidR="0092024F" w:rsidRDefault="003B08DB" w:rsidP="002C48F3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t xml:space="preserve">Příloha č. 3 </w:t>
      </w:r>
      <w:r w:rsidR="0030738E">
        <w:t>-</w:t>
      </w:r>
      <w:r>
        <w:t xml:space="preserve"> </w:t>
      </w:r>
      <w:r w:rsidR="002F0BAB">
        <w:t>Konsolidované čestné prohlášení</w:t>
      </w:r>
    </w:p>
    <w:p w14:paraId="00D62225" w14:textId="0E75F1A2" w:rsidR="008170DB" w:rsidRPr="0030738E" w:rsidRDefault="0056019C" w:rsidP="002C48F3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t xml:space="preserve">Příloha č. </w:t>
      </w:r>
      <w:r w:rsidR="002C48F3">
        <w:t>4</w:t>
      </w:r>
      <w:r>
        <w:t xml:space="preserve"> </w:t>
      </w:r>
      <w:r w:rsidR="008B321D">
        <w:t>–</w:t>
      </w:r>
      <w:r w:rsidR="00710E24">
        <w:t xml:space="preserve"> </w:t>
      </w:r>
      <w:r w:rsidR="008B321D">
        <w:rPr>
          <w:szCs w:val="20"/>
        </w:rPr>
        <w:t>Technická specifikace</w:t>
      </w:r>
    </w:p>
    <w:p w14:paraId="718ECF8F" w14:textId="0A1AD140" w:rsidR="0030738E" w:rsidRDefault="0030738E" w:rsidP="002C48F3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rPr>
          <w:szCs w:val="20"/>
        </w:rPr>
        <w:t xml:space="preserve">Příloha č. 5 – </w:t>
      </w:r>
      <w:r w:rsidR="00070BB4">
        <w:rPr>
          <w:szCs w:val="20"/>
        </w:rPr>
        <w:t>Specifikace servisních služeb</w:t>
      </w:r>
    </w:p>
    <w:p w14:paraId="5AD48783" w14:textId="77777777" w:rsidR="0030738E" w:rsidRDefault="0030738E" w:rsidP="009332E9">
      <w:pPr>
        <w:keepNext/>
        <w:spacing w:before="720" w:after="720"/>
        <w:jc w:val="left"/>
        <w:rPr>
          <w:szCs w:val="20"/>
        </w:rPr>
      </w:pPr>
    </w:p>
    <w:p w14:paraId="31E88C7B" w14:textId="517A45CC" w:rsidR="00C32736" w:rsidRPr="00C32736" w:rsidRDefault="00C32736" w:rsidP="009332E9">
      <w:pPr>
        <w:keepNext/>
        <w:spacing w:before="720" w:after="720"/>
        <w:jc w:val="left"/>
        <w:rPr>
          <w:szCs w:val="20"/>
        </w:rPr>
      </w:pPr>
      <w:r w:rsidRPr="00C32736">
        <w:rPr>
          <w:szCs w:val="20"/>
        </w:rPr>
        <w:t>V Kladrubech nad Labem dne</w:t>
      </w:r>
      <w:r w:rsidR="00BE555A">
        <w:rPr>
          <w:szCs w:val="20"/>
        </w:rPr>
        <w:t xml:space="preserve"> </w:t>
      </w:r>
    </w:p>
    <w:p w14:paraId="41621683" w14:textId="77777777" w:rsidR="00596E76" w:rsidRPr="00C32736" w:rsidRDefault="00596E76" w:rsidP="009332E9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6B067E09" w14:textId="77777777" w:rsidR="00C32736" w:rsidRPr="00C32736" w:rsidRDefault="00C32736" w:rsidP="009332E9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470053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304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F36B" w14:textId="77777777" w:rsidR="00470053" w:rsidRDefault="00470053" w:rsidP="00420B2A">
      <w:pPr>
        <w:spacing w:after="0"/>
      </w:pPr>
      <w:r>
        <w:separator/>
      </w:r>
    </w:p>
  </w:endnote>
  <w:endnote w:type="continuationSeparator" w:id="0">
    <w:p w14:paraId="7247C8E3" w14:textId="77777777" w:rsidR="00470053" w:rsidRDefault="00470053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E316" w14:textId="77777777" w:rsidR="00535BB1" w:rsidRDefault="00535BB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2886E2E9" wp14:editId="59BBDABC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84D9D1" w14:textId="77777777" w:rsidR="00535BB1" w:rsidRPr="00C32736" w:rsidRDefault="00535BB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F57225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3C773382" w14:textId="77777777" w:rsidR="00535BB1" w:rsidRPr="002A2A07" w:rsidRDefault="00535BB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5722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5722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11F3AF97" w14:textId="77777777" w:rsidR="00535BB1" w:rsidRPr="002A2A07" w:rsidRDefault="00535BB1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5722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5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5722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9C6A" w14:textId="77777777" w:rsidR="00470053" w:rsidRDefault="00470053" w:rsidP="00420B2A">
      <w:pPr>
        <w:spacing w:after="0"/>
      </w:pPr>
      <w:r>
        <w:separator/>
      </w:r>
    </w:p>
  </w:footnote>
  <w:footnote w:type="continuationSeparator" w:id="0">
    <w:p w14:paraId="1BD1D3CB" w14:textId="77777777" w:rsidR="00470053" w:rsidRDefault="00470053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CA44" w14:textId="77777777" w:rsidR="00535BB1" w:rsidRDefault="0076417D">
    <w:pPr>
      <w:pStyle w:val="Zhlav"/>
    </w:pPr>
    <w:r>
      <w:rPr>
        <w:noProof/>
        <w:lang w:eastAsia="cs-CZ"/>
      </w:rPr>
      <w:pict w14:anchorId="3CF9D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BED2" w14:textId="77777777" w:rsidR="00535BB1" w:rsidRPr="002C4591" w:rsidRDefault="0076417D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57503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535BB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3A59FBC0" wp14:editId="291BBF4E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42D8" w14:textId="77777777" w:rsidR="00535BB1" w:rsidRDefault="0076417D">
    <w:pPr>
      <w:pStyle w:val="Zhlav"/>
    </w:pPr>
    <w:r>
      <w:rPr>
        <w:noProof/>
        <w:lang w:eastAsia="cs-CZ"/>
      </w:rPr>
      <w:pict w14:anchorId="16C35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99A8" w14:textId="77777777" w:rsidR="00535BB1" w:rsidRDefault="0076417D">
    <w:pPr>
      <w:pStyle w:val="Zhlav"/>
    </w:pPr>
    <w:r>
      <w:rPr>
        <w:noProof/>
        <w:lang w:eastAsia="cs-CZ"/>
      </w:rPr>
      <w:pict w14:anchorId="5E5B1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2603" w14:textId="70F110B6" w:rsidR="00535BB1" w:rsidRPr="006A62DE" w:rsidRDefault="0076417D" w:rsidP="006A62DE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67F5C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5A248A">
      <w:rPr>
        <w:color w:val="404040" w:themeColor="text1" w:themeTint="BF"/>
        <w:szCs w:val="20"/>
      </w:rPr>
      <w:t>Osobní automobil nižší střední třídy v provedení kombi</w:t>
    </w:r>
    <w:r w:rsidR="00535BB1" w:rsidRPr="002A2A07">
      <w:rPr>
        <w:color w:val="404040" w:themeColor="text1" w:themeTint="BF"/>
      </w:rPr>
      <w:ptab w:relativeTo="margin" w:alignment="right" w:leader="none"/>
    </w:r>
    <w:r w:rsidR="00535BB1" w:rsidRPr="002A2A07">
      <w:rPr>
        <w:color w:val="404040" w:themeColor="text1" w:themeTint="BF"/>
      </w:rPr>
      <w:t xml:space="preserve">VZ </w:t>
    </w:r>
    <w:r w:rsidR="00C51D25">
      <w:rPr>
        <w:color w:val="404040" w:themeColor="text1" w:themeTint="BF"/>
      </w:rPr>
      <w:t>1</w:t>
    </w:r>
    <w:r w:rsidR="005A248A">
      <w:rPr>
        <w:color w:val="404040" w:themeColor="text1" w:themeTint="BF"/>
      </w:rPr>
      <w:t>7</w:t>
    </w:r>
    <w:r w:rsidR="00535BB1">
      <w:rPr>
        <w:color w:val="404040" w:themeColor="text1" w:themeTint="BF"/>
      </w:rPr>
      <w:t>/</w:t>
    </w:r>
    <w:r w:rsidR="000A4859">
      <w:rPr>
        <w:color w:val="404040" w:themeColor="text1" w:themeTint="BF"/>
      </w:rPr>
      <w:t>202</w:t>
    </w:r>
    <w:r w:rsidR="00C51D25">
      <w:rPr>
        <w:color w:val="404040" w:themeColor="text1" w:themeTint="BF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27A6" w14:textId="77777777" w:rsidR="00535BB1" w:rsidRDefault="0076417D">
    <w:pPr>
      <w:pStyle w:val="Zhlav"/>
    </w:pPr>
    <w:r>
      <w:rPr>
        <w:noProof/>
        <w:lang w:eastAsia="cs-CZ"/>
      </w:rPr>
      <w:pict w14:anchorId="5B4EC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2360" w14:textId="77777777" w:rsidR="00535BB1" w:rsidRDefault="0076417D">
    <w:pPr>
      <w:pStyle w:val="Zhlav"/>
    </w:pPr>
    <w:r>
      <w:rPr>
        <w:noProof/>
        <w:lang w:eastAsia="cs-CZ"/>
      </w:rPr>
      <w:pict w14:anchorId="77FAE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7E19" w14:textId="2C815305" w:rsidR="00535BB1" w:rsidRPr="008C1097" w:rsidRDefault="0076417D" w:rsidP="008C1097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szCs w:val="20"/>
        <w:highlight w:val="yellow"/>
        <w:lang w:eastAsia="cs-CZ"/>
      </w:rPr>
      <w:pict w14:anchorId="704E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5A248A">
      <w:rPr>
        <w:color w:val="404040" w:themeColor="text1" w:themeTint="BF"/>
        <w:szCs w:val="20"/>
      </w:rPr>
      <w:t>Osobní automobil nižší střední třídy v provedení kombi</w:t>
    </w:r>
    <w:r w:rsidR="00535BB1" w:rsidRPr="002A2A07">
      <w:rPr>
        <w:color w:val="404040" w:themeColor="text1" w:themeTint="BF"/>
      </w:rPr>
      <w:ptab w:relativeTo="margin" w:alignment="right" w:leader="none"/>
    </w:r>
    <w:r w:rsidR="00535BB1" w:rsidRPr="002A2A07">
      <w:rPr>
        <w:color w:val="404040" w:themeColor="text1" w:themeTint="BF"/>
      </w:rPr>
      <w:t xml:space="preserve">VZ </w:t>
    </w:r>
    <w:r w:rsidR="00C51D25">
      <w:rPr>
        <w:color w:val="404040" w:themeColor="text1" w:themeTint="BF"/>
      </w:rPr>
      <w:t>1</w:t>
    </w:r>
    <w:r w:rsidR="005A248A">
      <w:rPr>
        <w:color w:val="404040" w:themeColor="text1" w:themeTint="BF"/>
      </w:rPr>
      <w:t>7</w:t>
    </w:r>
    <w:r w:rsidR="00535BB1">
      <w:rPr>
        <w:color w:val="404040" w:themeColor="text1" w:themeTint="BF"/>
      </w:rPr>
      <w:t>/</w:t>
    </w:r>
    <w:r w:rsidR="000A4859">
      <w:rPr>
        <w:color w:val="404040" w:themeColor="text1" w:themeTint="BF"/>
      </w:rPr>
      <w:t>202</w:t>
    </w:r>
    <w:r w:rsidR="00C51D25">
      <w:rPr>
        <w:color w:val="404040" w:themeColor="text1" w:themeTint="BF"/>
      </w:rPr>
      <w:t>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8F55" w14:textId="77777777" w:rsidR="00535BB1" w:rsidRDefault="0076417D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20F1E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535BB1" w:rsidRPr="00E7387D">
      <w:rPr>
        <w:noProof/>
        <w:color w:val="7F7F7F" w:themeColor="text1" w:themeTint="80"/>
        <w:szCs w:val="20"/>
        <w:lang w:eastAsia="cs-CZ"/>
      </w:rPr>
      <w:t>XXXXXX</w:t>
    </w:r>
    <w:r w:rsidR="00535BB1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7BE44E76" wp14:editId="00A2F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9525" b="0"/>
          <wp:wrapNone/>
          <wp:docPr id="5" name="obrázek 5" descr="Logo NHK bez textu_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NHK bez textu_nové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C10"/>
    <w:multiLevelType w:val="hybridMultilevel"/>
    <w:tmpl w:val="98CAF446"/>
    <w:lvl w:ilvl="0" w:tplc="5F16643A">
      <w:start w:val="1"/>
      <w:numFmt w:val="decimal"/>
      <w:lvlText w:val="3.1.%1"/>
      <w:lvlJc w:val="right"/>
      <w:pPr>
        <w:ind w:left="1429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BB11B5"/>
    <w:multiLevelType w:val="hybridMultilevel"/>
    <w:tmpl w:val="F62821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32038"/>
    <w:multiLevelType w:val="hybridMultilevel"/>
    <w:tmpl w:val="6CDA589A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C6FCD"/>
    <w:multiLevelType w:val="multilevel"/>
    <w:tmpl w:val="A4AE3750"/>
    <w:lvl w:ilvl="0">
      <w:start w:val="1"/>
      <w:numFmt w:val="upperRoman"/>
      <w:pStyle w:val="TSlneksmlouvy"/>
      <w:suff w:val="nothing"/>
      <w:lvlText w:val="Čl. %1"/>
      <w:lvlJc w:val="left"/>
      <w:pPr>
        <w:ind w:left="4112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9052A93"/>
    <w:multiLevelType w:val="multilevel"/>
    <w:tmpl w:val="DF963E4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9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CA45C52"/>
    <w:multiLevelType w:val="hybridMultilevel"/>
    <w:tmpl w:val="FD10DABE"/>
    <w:lvl w:ilvl="0" w:tplc="995836F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45E01FD"/>
    <w:multiLevelType w:val="hybridMultilevel"/>
    <w:tmpl w:val="D390F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5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298513">
    <w:abstractNumId w:val="7"/>
  </w:num>
  <w:num w:numId="2" w16cid:durableId="596400669">
    <w:abstractNumId w:val="3"/>
  </w:num>
  <w:num w:numId="3" w16cid:durableId="154810605">
    <w:abstractNumId w:val="16"/>
  </w:num>
  <w:num w:numId="4" w16cid:durableId="1318530543">
    <w:abstractNumId w:val="12"/>
  </w:num>
  <w:num w:numId="5" w16cid:durableId="632836237">
    <w:abstractNumId w:val="4"/>
  </w:num>
  <w:num w:numId="6" w16cid:durableId="1112243204">
    <w:abstractNumId w:val="9"/>
  </w:num>
  <w:num w:numId="7" w16cid:durableId="852383200">
    <w:abstractNumId w:val="14"/>
  </w:num>
  <w:num w:numId="8" w16cid:durableId="643894066">
    <w:abstractNumId w:val="8"/>
  </w:num>
  <w:num w:numId="9" w16cid:durableId="1808350419">
    <w:abstractNumId w:val="15"/>
  </w:num>
  <w:num w:numId="10" w16cid:durableId="223873569">
    <w:abstractNumId w:val="10"/>
  </w:num>
  <w:num w:numId="11" w16cid:durableId="431633299">
    <w:abstractNumId w:val="0"/>
  </w:num>
  <w:num w:numId="12" w16cid:durableId="735081815">
    <w:abstractNumId w:val="13"/>
  </w:num>
  <w:num w:numId="13" w16cid:durableId="900598478">
    <w:abstractNumId w:val="11"/>
  </w:num>
  <w:num w:numId="14" w16cid:durableId="1756124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5017120">
    <w:abstractNumId w:val="7"/>
  </w:num>
  <w:num w:numId="16" w16cid:durableId="918368100">
    <w:abstractNumId w:val="7"/>
  </w:num>
  <w:num w:numId="17" w16cid:durableId="283921973">
    <w:abstractNumId w:val="6"/>
  </w:num>
  <w:num w:numId="18" w16cid:durableId="1193031750">
    <w:abstractNumId w:val="1"/>
  </w:num>
  <w:num w:numId="19" w16cid:durableId="1540241054">
    <w:abstractNumId w:val="5"/>
  </w:num>
  <w:num w:numId="20" w16cid:durableId="135504075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028"/>
    <w:rsid w:val="0000325F"/>
    <w:rsid w:val="00003379"/>
    <w:rsid w:val="00004F67"/>
    <w:rsid w:val="00005C0B"/>
    <w:rsid w:val="000067CA"/>
    <w:rsid w:val="00006BDE"/>
    <w:rsid w:val="00006FFA"/>
    <w:rsid w:val="00007007"/>
    <w:rsid w:val="00021315"/>
    <w:rsid w:val="00021820"/>
    <w:rsid w:val="00027BDE"/>
    <w:rsid w:val="00030A38"/>
    <w:rsid w:val="0003173C"/>
    <w:rsid w:val="00032516"/>
    <w:rsid w:val="00033CDA"/>
    <w:rsid w:val="00034690"/>
    <w:rsid w:val="000351DB"/>
    <w:rsid w:val="00035635"/>
    <w:rsid w:val="00037410"/>
    <w:rsid w:val="00043308"/>
    <w:rsid w:val="0004361F"/>
    <w:rsid w:val="00044122"/>
    <w:rsid w:val="00045211"/>
    <w:rsid w:val="000464B8"/>
    <w:rsid w:val="00047A36"/>
    <w:rsid w:val="00050CF4"/>
    <w:rsid w:val="00055E83"/>
    <w:rsid w:val="00056FBF"/>
    <w:rsid w:val="00060308"/>
    <w:rsid w:val="0006380A"/>
    <w:rsid w:val="00063F35"/>
    <w:rsid w:val="0006404E"/>
    <w:rsid w:val="00070BB4"/>
    <w:rsid w:val="00072946"/>
    <w:rsid w:val="000729C6"/>
    <w:rsid w:val="0007300B"/>
    <w:rsid w:val="000732B8"/>
    <w:rsid w:val="0007688B"/>
    <w:rsid w:val="00076FB1"/>
    <w:rsid w:val="00082C8E"/>
    <w:rsid w:val="00087670"/>
    <w:rsid w:val="0009091E"/>
    <w:rsid w:val="000909DD"/>
    <w:rsid w:val="000917D8"/>
    <w:rsid w:val="00093DE9"/>
    <w:rsid w:val="00094A89"/>
    <w:rsid w:val="00094E28"/>
    <w:rsid w:val="00094EAB"/>
    <w:rsid w:val="000961B9"/>
    <w:rsid w:val="000A2533"/>
    <w:rsid w:val="000A2A8A"/>
    <w:rsid w:val="000A2B5A"/>
    <w:rsid w:val="000A4859"/>
    <w:rsid w:val="000A508D"/>
    <w:rsid w:val="000A5368"/>
    <w:rsid w:val="000A5B4C"/>
    <w:rsid w:val="000A6354"/>
    <w:rsid w:val="000A6939"/>
    <w:rsid w:val="000A723E"/>
    <w:rsid w:val="000B0338"/>
    <w:rsid w:val="000B3645"/>
    <w:rsid w:val="000B3ECC"/>
    <w:rsid w:val="000B5C66"/>
    <w:rsid w:val="000B6848"/>
    <w:rsid w:val="000B7E35"/>
    <w:rsid w:val="000C0618"/>
    <w:rsid w:val="000C26C6"/>
    <w:rsid w:val="000C3635"/>
    <w:rsid w:val="000C6E99"/>
    <w:rsid w:val="000D1D01"/>
    <w:rsid w:val="000D2CDC"/>
    <w:rsid w:val="000D695E"/>
    <w:rsid w:val="000D6FBD"/>
    <w:rsid w:val="000E2B07"/>
    <w:rsid w:val="000E55B9"/>
    <w:rsid w:val="000E5EE4"/>
    <w:rsid w:val="000E6D4F"/>
    <w:rsid w:val="000F2A43"/>
    <w:rsid w:val="000F48EA"/>
    <w:rsid w:val="000F50AF"/>
    <w:rsid w:val="00101F35"/>
    <w:rsid w:val="001022D9"/>
    <w:rsid w:val="00102C9E"/>
    <w:rsid w:val="00105345"/>
    <w:rsid w:val="001074CA"/>
    <w:rsid w:val="00107CA6"/>
    <w:rsid w:val="00107D08"/>
    <w:rsid w:val="0011126F"/>
    <w:rsid w:val="00111EAE"/>
    <w:rsid w:val="0011206B"/>
    <w:rsid w:val="00112680"/>
    <w:rsid w:val="001139A6"/>
    <w:rsid w:val="0012019B"/>
    <w:rsid w:val="001227E9"/>
    <w:rsid w:val="00133420"/>
    <w:rsid w:val="0013355A"/>
    <w:rsid w:val="00133695"/>
    <w:rsid w:val="0013439F"/>
    <w:rsid w:val="001364EC"/>
    <w:rsid w:val="00137C65"/>
    <w:rsid w:val="001416E1"/>
    <w:rsid w:val="001456E7"/>
    <w:rsid w:val="00147591"/>
    <w:rsid w:val="00155D80"/>
    <w:rsid w:val="00156C50"/>
    <w:rsid w:val="00157FDD"/>
    <w:rsid w:val="00161285"/>
    <w:rsid w:val="001613D8"/>
    <w:rsid w:val="0016256E"/>
    <w:rsid w:val="00164040"/>
    <w:rsid w:val="00165587"/>
    <w:rsid w:val="0016586D"/>
    <w:rsid w:val="00166A55"/>
    <w:rsid w:val="001706A7"/>
    <w:rsid w:val="00170FDE"/>
    <w:rsid w:val="0017182C"/>
    <w:rsid w:val="00171BCA"/>
    <w:rsid w:val="001721FA"/>
    <w:rsid w:val="001760EA"/>
    <w:rsid w:val="00176BE5"/>
    <w:rsid w:val="00177972"/>
    <w:rsid w:val="00177DCA"/>
    <w:rsid w:val="00181BF0"/>
    <w:rsid w:val="00181C27"/>
    <w:rsid w:val="00184E36"/>
    <w:rsid w:val="00190FA7"/>
    <w:rsid w:val="00191F60"/>
    <w:rsid w:val="001931AF"/>
    <w:rsid w:val="001954F3"/>
    <w:rsid w:val="00195E95"/>
    <w:rsid w:val="001973A1"/>
    <w:rsid w:val="0019795E"/>
    <w:rsid w:val="001A05E5"/>
    <w:rsid w:val="001A1A3C"/>
    <w:rsid w:val="001A242C"/>
    <w:rsid w:val="001A376A"/>
    <w:rsid w:val="001A56BF"/>
    <w:rsid w:val="001A5779"/>
    <w:rsid w:val="001A5D22"/>
    <w:rsid w:val="001A650F"/>
    <w:rsid w:val="001A6C03"/>
    <w:rsid w:val="001B0090"/>
    <w:rsid w:val="001B1B8C"/>
    <w:rsid w:val="001B295D"/>
    <w:rsid w:val="001B2E25"/>
    <w:rsid w:val="001B3673"/>
    <w:rsid w:val="001B376C"/>
    <w:rsid w:val="001B45A2"/>
    <w:rsid w:val="001B4B15"/>
    <w:rsid w:val="001B524C"/>
    <w:rsid w:val="001B55E6"/>
    <w:rsid w:val="001B6DF2"/>
    <w:rsid w:val="001C524E"/>
    <w:rsid w:val="001C67FA"/>
    <w:rsid w:val="001D11F6"/>
    <w:rsid w:val="001D2535"/>
    <w:rsid w:val="001D4E3E"/>
    <w:rsid w:val="001D5274"/>
    <w:rsid w:val="001E0E1A"/>
    <w:rsid w:val="001E170D"/>
    <w:rsid w:val="001E3752"/>
    <w:rsid w:val="001E4788"/>
    <w:rsid w:val="001E50A2"/>
    <w:rsid w:val="001E5794"/>
    <w:rsid w:val="001E5BCE"/>
    <w:rsid w:val="001E62F4"/>
    <w:rsid w:val="001E7F89"/>
    <w:rsid w:val="001F0158"/>
    <w:rsid w:val="001F078D"/>
    <w:rsid w:val="001F0906"/>
    <w:rsid w:val="001F1234"/>
    <w:rsid w:val="001F3DCD"/>
    <w:rsid w:val="001F4678"/>
    <w:rsid w:val="001F4E70"/>
    <w:rsid w:val="001F6B93"/>
    <w:rsid w:val="001F7142"/>
    <w:rsid w:val="001F7798"/>
    <w:rsid w:val="0020440E"/>
    <w:rsid w:val="00207036"/>
    <w:rsid w:val="00210CFE"/>
    <w:rsid w:val="00212C72"/>
    <w:rsid w:val="00212CB9"/>
    <w:rsid w:val="002132A8"/>
    <w:rsid w:val="00215F03"/>
    <w:rsid w:val="00222B6F"/>
    <w:rsid w:val="00224247"/>
    <w:rsid w:val="002312D0"/>
    <w:rsid w:val="00231350"/>
    <w:rsid w:val="002336A2"/>
    <w:rsid w:val="002345E8"/>
    <w:rsid w:val="00235E81"/>
    <w:rsid w:val="0023631E"/>
    <w:rsid w:val="00240408"/>
    <w:rsid w:val="002431D5"/>
    <w:rsid w:val="002447FF"/>
    <w:rsid w:val="00246868"/>
    <w:rsid w:val="00247AE5"/>
    <w:rsid w:val="00252342"/>
    <w:rsid w:val="00253182"/>
    <w:rsid w:val="0025393D"/>
    <w:rsid w:val="00253EDA"/>
    <w:rsid w:val="00255E11"/>
    <w:rsid w:val="00260169"/>
    <w:rsid w:val="00261640"/>
    <w:rsid w:val="002625BF"/>
    <w:rsid w:val="00266106"/>
    <w:rsid w:val="00267D68"/>
    <w:rsid w:val="002712F4"/>
    <w:rsid w:val="00273487"/>
    <w:rsid w:val="00273EB9"/>
    <w:rsid w:val="00273EEC"/>
    <w:rsid w:val="002745CE"/>
    <w:rsid w:val="00276108"/>
    <w:rsid w:val="00276CB1"/>
    <w:rsid w:val="002804EE"/>
    <w:rsid w:val="00282FEF"/>
    <w:rsid w:val="00284457"/>
    <w:rsid w:val="00286C50"/>
    <w:rsid w:val="002914BD"/>
    <w:rsid w:val="00291CF0"/>
    <w:rsid w:val="002945CA"/>
    <w:rsid w:val="002976C9"/>
    <w:rsid w:val="002A28BA"/>
    <w:rsid w:val="002A2A07"/>
    <w:rsid w:val="002A308A"/>
    <w:rsid w:val="002A6FE9"/>
    <w:rsid w:val="002B017D"/>
    <w:rsid w:val="002B0639"/>
    <w:rsid w:val="002B0D39"/>
    <w:rsid w:val="002B45B8"/>
    <w:rsid w:val="002C4591"/>
    <w:rsid w:val="002C48F3"/>
    <w:rsid w:val="002C4FB5"/>
    <w:rsid w:val="002C53D9"/>
    <w:rsid w:val="002D0C7A"/>
    <w:rsid w:val="002D5C89"/>
    <w:rsid w:val="002D62A0"/>
    <w:rsid w:val="002E2ACF"/>
    <w:rsid w:val="002E560D"/>
    <w:rsid w:val="002E79BB"/>
    <w:rsid w:val="002F0BAB"/>
    <w:rsid w:val="002F23BC"/>
    <w:rsid w:val="002F26A2"/>
    <w:rsid w:val="00301E90"/>
    <w:rsid w:val="00302644"/>
    <w:rsid w:val="003028BD"/>
    <w:rsid w:val="0030293F"/>
    <w:rsid w:val="00302ADE"/>
    <w:rsid w:val="00305ED9"/>
    <w:rsid w:val="00306E25"/>
    <w:rsid w:val="00306F33"/>
    <w:rsid w:val="0030738E"/>
    <w:rsid w:val="00310605"/>
    <w:rsid w:val="00310874"/>
    <w:rsid w:val="003134BD"/>
    <w:rsid w:val="003139C8"/>
    <w:rsid w:val="00313ECF"/>
    <w:rsid w:val="003164DA"/>
    <w:rsid w:val="00317D75"/>
    <w:rsid w:val="00320551"/>
    <w:rsid w:val="00320A5F"/>
    <w:rsid w:val="0032394B"/>
    <w:rsid w:val="00330019"/>
    <w:rsid w:val="003308D3"/>
    <w:rsid w:val="003326AD"/>
    <w:rsid w:val="0033345E"/>
    <w:rsid w:val="00334F8B"/>
    <w:rsid w:val="00335E84"/>
    <w:rsid w:val="00341935"/>
    <w:rsid w:val="0034412B"/>
    <w:rsid w:val="0034452F"/>
    <w:rsid w:val="00344990"/>
    <w:rsid w:val="00346651"/>
    <w:rsid w:val="00346BED"/>
    <w:rsid w:val="003521B6"/>
    <w:rsid w:val="003527F6"/>
    <w:rsid w:val="00352873"/>
    <w:rsid w:val="00354EE6"/>
    <w:rsid w:val="00356E7A"/>
    <w:rsid w:val="003576C6"/>
    <w:rsid w:val="00361727"/>
    <w:rsid w:val="00363512"/>
    <w:rsid w:val="003636B5"/>
    <w:rsid w:val="003638ED"/>
    <w:rsid w:val="00363AF5"/>
    <w:rsid w:val="003651B4"/>
    <w:rsid w:val="00365291"/>
    <w:rsid w:val="00370CAB"/>
    <w:rsid w:val="00374A16"/>
    <w:rsid w:val="00374E0B"/>
    <w:rsid w:val="00375092"/>
    <w:rsid w:val="003768AE"/>
    <w:rsid w:val="00380146"/>
    <w:rsid w:val="003819F4"/>
    <w:rsid w:val="00391ADB"/>
    <w:rsid w:val="00392817"/>
    <w:rsid w:val="00392B39"/>
    <w:rsid w:val="00392DA0"/>
    <w:rsid w:val="003932FB"/>
    <w:rsid w:val="00393D06"/>
    <w:rsid w:val="00396127"/>
    <w:rsid w:val="003A0956"/>
    <w:rsid w:val="003A1110"/>
    <w:rsid w:val="003B08DB"/>
    <w:rsid w:val="003B27E4"/>
    <w:rsid w:val="003B3C6A"/>
    <w:rsid w:val="003C2920"/>
    <w:rsid w:val="003C5317"/>
    <w:rsid w:val="003C6B30"/>
    <w:rsid w:val="003D232C"/>
    <w:rsid w:val="003D35DE"/>
    <w:rsid w:val="003D412E"/>
    <w:rsid w:val="003D6199"/>
    <w:rsid w:val="003D6F42"/>
    <w:rsid w:val="003D777E"/>
    <w:rsid w:val="003D7D15"/>
    <w:rsid w:val="003E01F4"/>
    <w:rsid w:val="003E1241"/>
    <w:rsid w:val="003E265F"/>
    <w:rsid w:val="003E2C5D"/>
    <w:rsid w:val="003E5818"/>
    <w:rsid w:val="003E5EAB"/>
    <w:rsid w:val="003E6FC7"/>
    <w:rsid w:val="003E7983"/>
    <w:rsid w:val="003F0209"/>
    <w:rsid w:val="003F0D4E"/>
    <w:rsid w:val="003F25A3"/>
    <w:rsid w:val="003F5117"/>
    <w:rsid w:val="00401437"/>
    <w:rsid w:val="00403882"/>
    <w:rsid w:val="00404462"/>
    <w:rsid w:val="004045FF"/>
    <w:rsid w:val="00404D1B"/>
    <w:rsid w:val="004062C8"/>
    <w:rsid w:val="00406EEB"/>
    <w:rsid w:val="00406F1C"/>
    <w:rsid w:val="004071BE"/>
    <w:rsid w:val="0041060B"/>
    <w:rsid w:val="004119C4"/>
    <w:rsid w:val="00413E1A"/>
    <w:rsid w:val="004164CB"/>
    <w:rsid w:val="0041694F"/>
    <w:rsid w:val="00416D74"/>
    <w:rsid w:val="00416DCE"/>
    <w:rsid w:val="00420B2A"/>
    <w:rsid w:val="004218B6"/>
    <w:rsid w:val="00421E42"/>
    <w:rsid w:val="00422855"/>
    <w:rsid w:val="00422964"/>
    <w:rsid w:val="00422A7D"/>
    <w:rsid w:val="00422EBD"/>
    <w:rsid w:val="004241BB"/>
    <w:rsid w:val="00424D51"/>
    <w:rsid w:val="00426261"/>
    <w:rsid w:val="00426F1F"/>
    <w:rsid w:val="004273EC"/>
    <w:rsid w:val="00430530"/>
    <w:rsid w:val="0043171F"/>
    <w:rsid w:val="00433721"/>
    <w:rsid w:val="00433885"/>
    <w:rsid w:val="00433C7C"/>
    <w:rsid w:val="00436BCA"/>
    <w:rsid w:val="00437D3C"/>
    <w:rsid w:val="00440D17"/>
    <w:rsid w:val="004417BF"/>
    <w:rsid w:val="0044320F"/>
    <w:rsid w:val="00443789"/>
    <w:rsid w:val="004439DF"/>
    <w:rsid w:val="00443C2D"/>
    <w:rsid w:val="00451D6F"/>
    <w:rsid w:val="00452F61"/>
    <w:rsid w:val="004564D3"/>
    <w:rsid w:val="00456958"/>
    <w:rsid w:val="00456BF0"/>
    <w:rsid w:val="004605D9"/>
    <w:rsid w:val="00465531"/>
    <w:rsid w:val="004678C0"/>
    <w:rsid w:val="00470053"/>
    <w:rsid w:val="0047398A"/>
    <w:rsid w:val="00476273"/>
    <w:rsid w:val="004801C1"/>
    <w:rsid w:val="00483253"/>
    <w:rsid w:val="00484229"/>
    <w:rsid w:val="0048625E"/>
    <w:rsid w:val="00486293"/>
    <w:rsid w:val="00486D0D"/>
    <w:rsid w:val="00490475"/>
    <w:rsid w:val="00490AAC"/>
    <w:rsid w:val="00490F22"/>
    <w:rsid w:val="00491298"/>
    <w:rsid w:val="00495CA8"/>
    <w:rsid w:val="00496681"/>
    <w:rsid w:val="004A0CE3"/>
    <w:rsid w:val="004A2AEC"/>
    <w:rsid w:val="004A3A28"/>
    <w:rsid w:val="004A3E60"/>
    <w:rsid w:val="004A4173"/>
    <w:rsid w:val="004A486B"/>
    <w:rsid w:val="004A5329"/>
    <w:rsid w:val="004A6D18"/>
    <w:rsid w:val="004A7912"/>
    <w:rsid w:val="004B0617"/>
    <w:rsid w:val="004B0631"/>
    <w:rsid w:val="004B0A8C"/>
    <w:rsid w:val="004B1CAF"/>
    <w:rsid w:val="004B2E72"/>
    <w:rsid w:val="004B3D77"/>
    <w:rsid w:val="004B64C3"/>
    <w:rsid w:val="004C0047"/>
    <w:rsid w:val="004C173F"/>
    <w:rsid w:val="004C2DD0"/>
    <w:rsid w:val="004C30F5"/>
    <w:rsid w:val="004C3466"/>
    <w:rsid w:val="004C3619"/>
    <w:rsid w:val="004C6E3F"/>
    <w:rsid w:val="004C7302"/>
    <w:rsid w:val="004D0E73"/>
    <w:rsid w:val="004D15A3"/>
    <w:rsid w:val="004D258A"/>
    <w:rsid w:val="004D2842"/>
    <w:rsid w:val="004D34B6"/>
    <w:rsid w:val="004D68CC"/>
    <w:rsid w:val="004D6E58"/>
    <w:rsid w:val="004D7CA2"/>
    <w:rsid w:val="004E1A5E"/>
    <w:rsid w:val="004E57E3"/>
    <w:rsid w:val="004E5F33"/>
    <w:rsid w:val="004E6B99"/>
    <w:rsid w:val="004E71AC"/>
    <w:rsid w:val="004F1B26"/>
    <w:rsid w:val="004F41D5"/>
    <w:rsid w:val="004F5D28"/>
    <w:rsid w:val="004F6AA3"/>
    <w:rsid w:val="004F77B4"/>
    <w:rsid w:val="00501D66"/>
    <w:rsid w:val="00502431"/>
    <w:rsid w:val="00503AA4"/>
    <w:rsid w:val="00505F0A"/>
    <w:rsid w:val="00506019"/>
    <w:rsid w:val="00506EDD"/>
    <w:rsid w:val="00507B87"/>
    <w:rsid w:val="00510A66"/>
    <w:rsid w:val="005110ED"/>
    <w:rsid w:val="0051164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067"/>
    <w:rsid w:val="0053239B"/>
    <w:rsid w:val="00532CE9"/>
    <w:rsid w:val="00533854"/>
    <w:rsid w:val="00535BB1"/>
    <w:rsid w:val="00537D86"/>
    <w:rsid w:val="00537EB2"/>
    <w:rsid w:val="00541994"/>
    <w:rsid w:val="0054616F"/>
    <w:rsid w:val="0054730A"/>
    <w:rsid w:val="00550183"/>
    <w:rsid w:val="005509B8"/>
    <w:rsid w:val="00553F3E"/>
    <w:rsid w:val="0055636C"/>
    <w:rsid w:val="0055719D"/>
    <w:rsid w:val="00557A69"/>
    <w:rsid w:val="00557C6D"/>
    <w:rsid w:val="0056019C"/>
    <w:rsid w:val="0056145E"/>
    <w:rsid w:val="00573681"/>
    <w:rsid w:val="005736D6"/>
    <w:rsid w:val="00575B1D"/>
    <w:rsid w:val="00575B4E"/>
    <w:rsid w:val="00577A26"/>
    <w:rsid w:val="005802EB"/>
    <w:rsid w:val="0058247F"/>
    <w:rsid w:val="00584F27"/>
    <w:rsid w:val="00587734"/>
    <w:rsid w:val="0059019A"/>
    <w:rsid w:val="005912E7"/>
    <w:rsid w:val="00592D4E"/>
    <w:rsid w:val="005962C6"/>
    <w:rsid w:val="00596E76"/>
    <w:rsid w:val="00596FCB"/>
    <w:rsid w:val="005973C6"/>
    <w:rsid w:val="005A248A"/>
    <w:rsid w:val="005A4316"/>
    <w:rsid w:val="005A4472"/>
    <w:rsid w:val="005A59F5"/>
    <w:rsid w:val="005A69B9"/>
    <w:rsid w:val="005A6B57"/>
    <w:rsid w:val="005B352B"/>
    <w:rsid w:val="005B42AF"/>
    <w:rsid w:val="005B6380"/>
    <w:rsid w:val="005B6DF5"/>
    <w:rsid w:val="005B7B20"/>
    <w:rsid w:val="005C293B"/>
    <w:rsid w:val="005C46F3"/>
    <w:rsid w:val="005C4B0C"/>
    <w:rsid w:val="005C50A1"/>
    <w:rsid w:val="005C7CE3"/>
    <w:rsid w:val="005C7E60"/>
    <w:rsid w:val="005D00E0"/>
    <w:rsid w:val="005D391E"/>
    <w:rsid w:val="005D3D77"/>
    <w:rsid w:val="005D5C90"/>
    <w:rsid w:val="005D61D6"/>
    <w:rsid w:val="005E120D"/>
    <w:rsid w:val="005E278F"/>
    <w:rsid w:val="005E46E6"/>
    <w:rsid w:val="005E527E"/>
    <w:rsid w:val="005E5D5C"/>
    <w:rsid w:val="005F0BCA"/>
    <w:rsid w:val="005F2840"/>
    <w:rsid w:val="005F29A9"/>
    <w:rsid w:val="005F33A3"/>
    <w:rsid w:val="005F4329"/>
    <w:rsid w:val="005F45C3"/>
    <w:rsid w:val="005F6252"/>
    <w:rsid w:val="005F7852"/>
    <w:rsid w:val="00600A4E"/>
    <w:rsid w:val="00604B63"/>
    <w:rsid w:val="00604E2D"/>
    <w:rsid w:val="00604EF0"/>
    <w:rsid w:val="00607B8A"/>
    <w:rsid w:val="00611453"/>
    <w:rsid w:val="006118A4"/>
    <w:rsid w:val="00612164"/>
    <w:rsid w:val="006142B1"/>
    <w:rsid w:val="00614A34"/>
    <w:rsid w:val="0061551B"/>
    <w:rsid w:val="006160E0"/>
    <w:rsid w:val="00616CC6"/>
    <w:rsid w:val="00620622"/>
    <w:rsid w:val="00621746"/>
    <w:rsid w:val="0062288F"/>
    <w:rsid w:val="006233DB"/>
    <w:rsid w:val="006245FA"/>
    <w:rsid w:val="00624F36"/>
    <w:rsid w:val="006312F6"/>
    <w:rsid w:val="00631AEC"/>
    <w:rsid w:val="006342DD"/>
    <w:rsid w:val="0063650E"/>
    <w:rsid w:val="0063663D"/>
    <w:rsid w:val="00636B66"/>
    <w:rsid w:val="006405F3"/>
    <w:rsid w:val="00641CD9"/>
    <w:rsid w:val="00646405"/>
    <w:rsid w:val="0064748F"/>
    <w:rsid w:val="00651A47"/>
    <w:rsid w:val="00651CE7"/>
    <w:rsid w:val="00651EF4"/>
    <w:rsid w:val="00655592"/>
    <w:rsid w:val="006616DF"/>
    <w:rsid w:val="00667649"/>
    <w:rsid w:val="00667A99"/>
    <w:rsid w:val="0067037B"/>
    <w:rsid w:val="00673662"/>
    <w:rsid w:val="00676913"/>
    <w:rsid w:val="00680310"/>
    <w:rsid w:val="006813EC"/>
    <w:rsid w:val="00681DB2"/>
    <w:rsid w:val="006844AA"/>
    <w:rsid w:val="006850A2"/>
    <w:rsid w:val="006851A8"/>
    <w:rsid w:val="006907EC"/>
    <w:rsid w:val="006915E5"/>
    <w:rsid w:val="006925CD"/>
    <w:rsid w:val="00694F02"/>
    <w:rsid w:val="006A085A"/>
    <w:rsid w:val="006A33B1"/>
    <w:rsid w:val="006A5435"/>
    <w:rsid w:val="006A62DE"/>
    <w:rsid w:val="006A78A3"/>
    <w:rsid w:val="006B191F"/>
    <w:rsid w:val="006B356C"/>
    <w:rsid w:val="006B48AB"/>
    <w:rsid w:val="006B498D"/>
    <w:rsid w:val="006B4DEB"/>
    <w:rsid w:val="006B5B3E"/>
    <w:rsid w:val="006B7DC8"/>
    <w:rsid w:val="006C0C48"/>
    <w:rsid w:val="006C0C68"/>
    <w:rsid w:val="006C4B64"/>
    <w:rsid w:val="006C503C"/>
    <w:rsid w:val="006C6F98"/>
    <w:rsid w:val="006D7906"/>
    <w:rsid w:val="006E075C"/>
    <w:rsid w:val="006E1208"/>
    <w:rsid w:val="006E2B79"/>
    <w:rsid w:val="006E41AF"/>
    <w:rsid w:val="006E5607"/>
    <w:rsid w:val="006E5BAD"/>
    <w:rsid w:val="006E5FDF"/>
    <w:rsid w:val="006F4E33"/>
    <w:rsid w:val="007006A5"/>
    <w:rsid w:val="00703254"/>
    <w:rsid w:val="007058CA"/>
    <w:rsid w:val="00710E24"/>
    <w:rsid w:val="00711866"/>
    <w:rsid w:val="0071224B"/>
    <w:rsid w:val="00713261"/>
    <w:rsid w:val="007134BE"/>
    <w:rsid w:val="00714035"/>
    <w:rsid w:val="0071447D"/>
    <w:rsid w:val="0072115B"/>
    <w:rsid w:val="0072281A"/>
    <w:rsid w:val="00722B03"/>
    <w:rsid w:val="00722BC3"/>
    <w:rsid w:val="0072442C"/>
    <w:rsid w:val="007306AB"/>
    <w:rsid w:val="00730F61"/>
    <w:rsid w:val="007342BB"/>
    <w:rsid w:val="00736808"/>
    <w:rsid w:val="0073724A"/>
    <w:rsid w:val="00737AB3"/>
    <w:rsid w:val="00740221"/>
    <w:rsid w:val="00742EA6"/>
    <w:rsid w:val="00743888"/>
    <w:rsid w:val="00744743"/>
    <w:rsid w:val="00746931"/>
    <w:rsid w:val="00752777"/>
    <w:rsid w:val="00752F11"/>
    <w:rsid w:val="007564F5"/>
    <w:rsid w:val="007569E5"/>
    <w:rsid w:val="00756B10"/>
    <w:rsid w:val="007605B0"/>
    <w:rsid w:val="00761E08"/>
    <w:rsid w:val="0076387D"/>
    <w:rsid w:val="0076417D"/>
    <w:rsid w:val="007643D7"/>
    <w:rsid w:val="00767261"/>
    <w:rsid w:val="00767E50"/>
    <w:rsid w:val="00767FCB"/>
    <w:rsid w:val="00771CF5"/>
    <w:rsid w:val="007728AF"/>
    <w:rsid w:val="0077365E"/>
    <w:rsid w:val="00775A7B"/>
    <w:rsid w:val="00775D9B"/>
    <w:rsid w:val="007760C2"/>
    <w:rsid w:val="0077754B"/>
    <w:rsid w:val="00777ECD"/>
    <w:rsid w:val="007841CC"/>
    <w:rsid w:val="00784629"/>
    <w:rsid w:val="0078611C"/>
    <w:rsid w:val="00787AC1"/>
    <w:rsid w:val="00790CEF"/>
    <w:rsid w:val="00792CBA"/>
    <w:rsid w:val="00793EF2"/>
    <w:rsid w:val="007973A4"/>
    <w:rsid w:val="007A38D2"/>
    <w:rsid w:val="007A4262"/>
    <w:rsid w:val="007A48EA"/>
    <w:rsid w:val="007A6ED2"/>
    <w:rsid w:val="007A7777"/>
    <w:rsid w:val="007B0F33"/>
    <w:rsid w:val="007B1761"/>
    <w:rsid w:val="007B3A7A"/>
    <w:rsid w:val="007B3ACA"/>
    <w:rsid w:val="007B501F"/>
    <w:rsid w:val="007B56CF"/>
    <w:rsid w:val="007B72A6"/>
    <w:rsid w:val="007B7F9E"/>
    <w:rsid w:val="007C25DA"/>
    <w:rsid w:val="007C3573"/>
    <w:rsid w:val="007C48FA"/>
    <w:rsid w:val="007C6121"/>
    <w:rsid w:val="007C7804"/>
    <w:rsid w:val="007D01DE"/>
    <w:rsid w:val="007D5219"/>
    <w:rsid w:val="007E018C"/>
    <w:rsid w:val="007E2578"/>
    <w:rsid w:val="007E4C2C"/>
    <w:rsid w:val="007E65B6"/>
    <w:rsid w:val="007E6910"/>
    <w:rsid w:val="007E74F4"/>
    <w:rsid w:val="007F042A"/>
    <w:rsid w:val="007F0520"/>
    <w:rsid w:val="007F1120"/>
    <w:rsid w:val="007F2052"/>
    <w:rsid w:val="007F54DC"/>
    <w:rsid w:val="007F67A0"/>
    <w:rsid w:val="00800B67"/>
    <w:rsid w:val="00800BE9"/>
    <w:rsid w:val="00800FBC"/>
    <w:rsid w:val="00801363"/>
    <w:rsid w:val="00801A29"/>
    <w:rsid w:val="008029B5"/>
    <w:rsid w:val="0080484C"/>
    <w:rsid w:val="00806DE9"/>
    <w:rsid w:val="008073EF"/>
    <w:rsid w:val="00807F45"/>
    <w:rsid w:val="008138DC"/>
    <w:rsid w:val="008170DB"/>
    <w:rsid w:val="00817AFE"/>
    <w:rsid w:val="00817C13"/>
    <w:rsid w:val="00822515"/>
    <w:rsid w:val="008227FD"/>
    <w:rsid w:val="00824EEF"/>
    <w:rsid w:val="00827C99"/>
    <w:rsid w:val="008313C5"/>
    <w:rsid w:val="008371C7"/>
    <w:rsid w:val="00841C27"/>
    <w:rsid w:val="00843199"/>
    <w:rsid w:val="00843B71"/>
    <w:rsid w:val="0084643B"/>
    <w:rsid w:val="0085188B"/>
    <w:rsid w:val="00852AB3"/>
    <w:rsid w:val="00853904"/>
    <w:rsid w:val="00853A09"/>
    <w:rsid w:val="0085538E"/>
    <w:rsid w:val="00856988"/>
    <w:rsid w:val="00856A3C"/>
    <w:rsid w:val="00864407"/>
    <w:rsid w:val="00864B54"/>
    <w:rsid w:val="008653E8"/>
    <w:rsid w:val="0086544A"/>
    <w:rsid w:val="00866CD8"/>
    <w:rsid w:val="008708BF"/>
    <w:rsid w:val="00871DCA"/>
    <w:rsid w:val="00871E8D"/>
    <w:rsid w:val="008737CD"/>
    <w:rsid w:val="008741B3"/>
    <w:rsid w:val="0087523E"/>
    <w:rsid w:val="00875FC5"/>
    <w:rsid w:val="008810FB"/>
    <w:rsid w:val="0088291D"/>
    <w:rsid w:val="00882E27"/>
    <w:rsid w:val="00883F86"/>
    <w:rsid w:val="00884C9F"/>
    <w:rsid w:val="008850FE"/>
    <w:rsid w:val="0088579D"/>
    <w:rsid w:val="00887532"/>
    <w:rsid w:val="00890040"/>
    <w:rsid w:val="00893667"/>
    <w:rsid w:val="00895980"/>
    <w:rsid w:val="00895E98"/>
    <w:rsid w:val="00896A11"/>
    <w:rsid w:val="008A0B8E"/>
    <w:rsid w:val="008A0BB9"/>
    <w:rsid w:val="008A156F"/>
    <w:rsid w:val="008A294F"/>
    <w:rsid w:val="008A2ABF"/>
    <w:rsid w:val="008A4544"/>
    <w:rsid w:val="008A4D53"/>
    <w:rsid w:val="008A6852"/>
    <w:rsid w:val="008B16ED"/>
    <w:rsid w:val="008B26D6"/>
    <w:rsid w:val="008B317D"/>
    <w:rsid w:val="008B321D"/>
    <w:rsid w:val="008B3615"/>
    <w:rsid w:val="008B4A21"/>
    <w:rsid w:val="008B4E3F"/>
    <w:rsid w:val="008B5B5E"/>
    <w:rsid w:val="008B61E8"/>
    <w:rsid w:val="008C1097"/>
    <w:rsid w:val="008C37F0"/>
    <w:rsid w:val="008C3DF4"/>
    <w:rsid w:val="008C48E9"/>
    <w:rsid w:val="008C4DFD"/>
    <w:rsid w:val="008C4E84"/>
    <w:rsid w:val="008C52FA"/>
    <w:rsid w:val="008C5978"/>
    <w:rsid w:val="008C76A2"/>
    <w:rsid w:val="008D036D"/>
    <w:rsid w:val="008D132C"/>
    <w:rsid w:val="008D1392"/>
    <w:rsid w:val="008D2BF8"/>
    <w:rsid w:val="008D36A5"/>
    <w:rsid w:val="008D3CC0"/>
    <w:rsid w:val="008D473C"/>
    <w:rsid w:val="008D62F8"/>
    <w:rsid w:val="008D75B8"/>
    <w:rsid w:val="008E0AAA"/>
    <w:rsid w:val="008E1C3B"/>
    <w:rsid w:val="008E285C"/>
    <w:rsid w:val="008E31CF"/>
    <w:rsid w:val="008E6EF7"/>
    <w:rsid w:val="008F1065"/>
    <w:rsid w:val="008F11EB"/>
    <w:rsid w:val="008F1362"/>
    <w:rsid w:val="008F27FD"/>
    <w:rsid w:val="008F49D5"/>
    <w:rsid w:val="008F6222"/>
    <w:rsid w:val="008F6B26"/>
    <w:rsid w:val="008F6C9F"/>
    <w:rsid w:val="009015FE"/>
    <w:rsid w:val="0090247F"/>
    <w:rsid w:val="00903B20"/>
    <w:rsid w:val="00903DCE"/>
    <w:rsid w:val="00904EC5"/>
    <w:rsid w:val="00906E67"/>
    <w:rsid w:val="00907853"/>
    <w:rsid w:val="009079F0"/>
    <w:rsid w:val="009103FC"/>
    <w:rsid w:val="00911688"/>
    <w:rsid w:val="00913CF2"/>
    <w:rsid w:val="0091482C"/>
    <w:rsid w:val="00914AAA"/>
    <w:rsid w:val="00915F02"/>
    <w:rsid w:val="0092024F"/>
    <w:rsid w:val="00921468"/>
    <w:rsid w:val="009217AB"/>
    <w:rsid w:val="009242FD"/>
    <w:rsid w:val="00927A6C"/>
    <w:rsid w:val="00927F6D"/>
    <w:rsid w:val="009322B2"/>
    <w:rsid w:val="009332E9"/>
    <w:rsid w:val="00934ED8"/>
    <w:rsid w:val="00934FF9"/>
    <w:rsid w:val="00935E8A"/>
    <w:rsid w:val="00941055"/>
    <w:rsid w:val="00941AE0"/>
    <w:rsid w:val="009423C6"/>
    <w:rsid w:val="00942F6F"/>
    <w:rsid w:val="0094399F"/>
    <w:rsid w:val="009458D8"/>
    <w:rsid w:val="00946690"/>
    <w:rsid w:val="00947D0C"/>
    <w:rsid w:val="00952884"/>
    <w:rsid w:val="00953178"/>
    <w:rsid w:val="00957D78"/>
    <w:rsid w:val="009613C3"/>
    <w:rsid w:val="00964487"/>
    <w:rsid w:val="009662BD"/>
    <w:rsid w:val="0096646E"/>
    <w:rsid w:val="00970A08"/>
    <w:rsid w:val="0097257F"/>
    <w:rsid w:val="00973167"/>
    <w:rsid w:val="00973FFD"/>
    <w:rsid w:val="0097425E"/>
    <w:rsid w:val="00974C59"/>
    <w:rsid w:val="00977DAF"/>
    <w:rsid w:val="009809B0"/>
    <w:rsid w:val="009906CC"/>
    <w:rsid w:val="009914CD"/>
    <w:rsid w:val="009920D3"/>
    <w:rsid w:val="00992648"/>
    <w:rsid w:val="0099319F"/>
    <w:rsid w:val="009935E6"/>
    <w:rsid w:val="009955FD"/>
    <w:rsid w:val="009A12E3"/>
    <w:rsid w:val="009A1532"/>
    <w:rsid w:val="009A1895"/>
    <w:rsid w:val="009A1C5F"/>
    <w:rsid w:val="009A6993"/>
    <w:rsid w:val="009B0142"/>
    <w:rsid w:val="009B12B5"/>
    <w:rsid w:val="009B1620"/>
    <w:rsid w:val="009B22DB"/>
    <w:rsid w:val="009B3C5E"/>
    <w:rsid w:val="009C08F4"/>
    <w:rsid w:val="009C1D28"/>
    <w:rsid w:val="009C2C61"/>
    <w:rsid w:val="009C3C01"/>
    <w:rsid w:val="009C66E5"/>
    <w:rsid w:val="009C6F01"/>
    <w:rsid w:val="009D0378"/>
    <w:rsid w:val="009D03D4"/>
    <w:rsid w:val="009D0651"/>
    <w:rsid w:val="009D0D47"/>
    <w:rsid w:val="009D3F15"/>
    <w:rsid w:val="009E31E8"/>
    <w:rsid w:val="009E429D"/>
    <w:rsid w:val="009E5216"/>
    <w:rsid w:val="009E6A73"/>
    <w:rsid w:val="00A03963"/>
    <w:rsid w:val="00A05FC6"/>
    <w:rsid w:val="00A07B05"/>
    <w:rsid w:val="00A10922"/>
    <w:rsid w:val="00A10E9E"/>
    <w:rsid w:val="00A11A8B"/>
    <w:rsid w:val="00A123E9"/>
    <w:rsid w:val="00A126CB"/>
    <w:rsid w:val="00A132E7"/>
    <w:rsid w:val="00A13AED"/>
    <w:rsid w:val="00A1401A"/>
    <w:rsid w:val="00A142F8"/>
    <w:rsid w:val="00A14482"/>
    <w:rsid w:val="00A14A5C"/>
    <w:rsid w:val="00A14F81"/>
    <w:rsid w:val="00A15B97"/>
    <w:rsid w:val="00A17A03"/>
    <w:rsid w:val="00A2234F"/>
    <w:rsid w:val="00A266A0"/>
    <w:rsid w:val="00A267F3"/>
    <w:rsid w:val="00A307C5"/>
    <w:rsid w:val="00A311AA"/>
    <w:rsid w:val="00A33D41"/>
    <w:rsid w:val="00A34DCD"/>
    <w:rsid w:val="00A3680B"/>
    <w:rsid w:val="00A36A2A"/>
    <w:rsid w:val="00A373A5"/>
    <w:rsid w:val="00A409D4"/>
    <w:rsid w:val="00A4368F"/>
    <w:rsid w:val="00A43A09"/>
    <w:rsid w:val="00A501A4"/>
    <w:rsid w:val="00A50549"/>
    <w:rsid w:val="00A5101C"/>
    <w:rsid w:val="00A526AD"/>
    <w:rsid w:val="00A53398"/>
    <w:rsid w:val="00A537DB"/>
    <w:rsid w:val="00A53C67"/>
    <w:rsid w:val="00A55227"/>
    <w:rsid w:val="00A564AA"/>
    <w:rsid w:val="00A567E1"/>
    <w:rsid w:val="00A57680"/>
    <w:rsid w:val="00A650C2"/>
    <w:rsid w:val="00A65A7D"/>
    <w:rsid w:val="00A65C28"/>
    <w:rsid w:val="00A72552"/>
    <w:rsid w:val="00A74A1C"/>
    <w:rsid w:val="00A76E0F"/>
    <w:rsid w:val="00A817A8"/>
    <w:rsid w:val="00A81A11"/>
    <w:rsid w:val="00A831AE"/>
    <w:rsid w:val="00A83D84"/>
    <w:rsid w:val="00A84981"/>
    <w:rsid w:val="00A85090"/>
    <w:rsid w:val="00A90A19"/>
    <w:rsid w:val="00A915F6"/>
    <w:rsid w:val="00A919A3"/>
    <w:rsid w:val="00A95B7B"/>
    <w:rsid w:val="00A97156"/>
    <w:rsid w:val="00A9719B"/>
    <w:rsid w:val="00AA1DA4"/>
    <w:rsid w:val="00AA5421"/>
    <w:rsid w:val="00AB1A65"/>
    <w:rsid w:val="00AB324E"/>
    <w:rsid w:val="00AB3AE5"/>
    <w:rsid w:val="00AB6141"/>
    <w:rsid w:val="00AB74F3"/>
    <w:rsid w:val="00AC06FA"/>
    <w:rsid w:val="00AC0957"/>
    <w:rsid w:val="00AC0F21"/>
    <w:rsid w:val="00AC1239"/>
    <w:rsid w:val="00AC5870"/>
    <w:rsid w:val="00AC6BD2"/>
    <w:rsid w:val="00AD3660"/>
    <w:rsid w:val="00AD3C40"/>
    <w:rsid w:val="00AD4249"/>
    <w:rsid w:val="00AD43CC"/>
    <w:rsid w:val="00AD5072"/>
    <w:rsid w:val="00AD52CA"/>
    <w:rsid w:val="00AD6D55"/>
    <w:rsid w:val="00AD72F7"/>
    <w:rsid w:val="00AE21FA"/>
    <w:rsid w:val="00AF2B04"/>
    <w:rsid w:val="00AF5039"/>
    <w:rsid w:val="00AF6218"/>
    <w:rsid w:val="00AF773B"/>
    <w:rsid w:val="00B00BF8"/>
    <w:rsid w:val="00B01AA8"/>
    <w:rsid w:val="00B029D2"/>
    <w:rsid w:val="00B1179B"/>
    <w:rsid w:val="00B12306"/>
    <w:rsid w:val="00B1252A"/>
    <w:rsid w:val="00B13913"/>
    <w:rsid w:val="00B13B38"/>
    <w:rsid w:val="00B15D8B"/>
    <w:rsid w:val="00B16E81"/>
    <w:rsid w:val="00B20DDB"/>
    <w:rsid w:val="00B2232C"/>
    <w:rsid w:val="00B2251A"/>
    <w:rsid w:val="00B227C5"/>
    <w:rsid w:val="00B34578"/>
    <w:rsid w:val="00B34DC0"/>
    <w:rsid w:val="00B358CC"/>
    <w:rsid w:val="00B36EF4"/>
    <w:rsid w:val="00B4015B"/>
    <w:rsid w:val="00B42A61"/>
    <w:rsid w:val="00B43966"/>
    <w:rsid w:val="00B43B08"/>
    <w:rsid w:val="00B44D74"/>
    <w:rsid w:val="00B47B2C"/>
    <w:rsid w:val="00B54FCA"/>
    <w:rsid w:val="00B55101"/>
    <w:rsid w:val="00B55D51"/>
    <w:rsid w:val="00B56074"/>
    <w:rsid w:val="00B56D6F"/>
    <w:rsid w:val="00B61582"/>
    <w:rsid w:val="00B61ED9"/>
    <w:rsid w:val="00B61F8F"/>
    <w:rsid w:val="00B6614E"/>
    <w:rsid w:val="00B664C6"/>
    <w:rsid w:val="00B6774A"/>
    <w:rsid w:val="00B7062E"/>
    <w:rsid w:val="00B71F60"/>
    <w:rsid w:val="00B74B85"/>
    <w:rsid w:val="00B755E3"/>
    <w:rsid w:val="00B7675E"/>
    <w:rsid w:val="00B7703B"/>
    <w:rsid w:val="00B82484"/>
    <w:rsid w:val="00B82BBC"/>
    <w:rsid w:val="00B83AA7"/>
    <w:rsid w:val="00B8435C"/>
    <w:rsid w:val="00B851FA"/>
    <w:rsid w:val="00B8675D"/>
    <w:rsid w:val="00B90E12"/>
    <w:rsid w:val="00B90F82"/>
    <w:rsid w:val="00B9369D"/>
    <w:rsid w:val="00B94D13"/>
    <w:rsid w:val="00B959C8"/>
    <w:rsid w:val="00B96B10"/>
    <w:rsid w:val="00B97A53"/>
    <w:rsid w:val="00B97C23"/>
    <w:rsid w:val="00BA07AD"/>
    <w:rsid w:val="00BA0BF4"/>
    <w:rsid w:val="00BA142B"/>
    <w:rsid w:val="00BA2327"/>
    <w:rsid w:val="00BA2B27"/>
    <w:rsid w:val="00BA2DD6"/>
    <w:rsid w:val="00BA70C5"/>
    <w:rsid w:val="00BA7CA8"/>
    <w:rsid w:val="00BB124F"/>
    <w:rsid w:val="00BB2210"/>
    <w:rsid w:val="00BB26BB"/>
    <w:rsid w:val="00BB3AB9"/>
    <w:rsid w:val="00BB57F7"/>
    <w:rsid w:val="00BB7FDC"/>
    <w:rsid w:val="00BC02A2"/>
    <w:rsid w:val="00BC0AC0"/>
    <w:rsid w:val="00BC33FB"/>
    <w:rsid w:val="00BC46F8"/>
    <w:rsid w:val="00BC6EE9"/>
    <w:rsid w:val="00BD2EA4"/>
    <w:rsid w:val="00BD2F21"/>
    <w:rsid w:val="00BD3DC4"/>
    <w:rsid w:val="00BD4723"/>
    <w:rsid w:val="00BE0640"/>
    <w:rsid w:val="00BE094C"/>
    <w:rsid w:val="00BE0AE0"/>
    <w:rsid w:val="00BE4117"/>
    <w:rsid w:val="00BE505B"/>
    <w:rsid w:val="00BE5397"/>
    <w:rsid w:val="00BE555A"/>
    <w:rsid w:val="00BF2925"/>
    <w:rsid w:val="00BF4384"/>
    <w:rsid w:val="00C0177E"/>
    <w:rsid w:val="00C024DC"/>
    <w:rsid w:val="00C060CC"/>
    <w:rsid w:val="00C0650C"/>
    <w:rsid w:val="00C06A6D"/>
    <w:rsid w:val="00C12154"/>
    <w:rsid w:val="00C12A3D"/>
    <w:rsid w:val="00C147D1"/>
    <w:rsid w:val="00C15E81"/>
    <w:rsid w:val="00C1660F"/>
    <w:rsid w:val="00C16638"/>
    <w:rsid w:val="00C20E9E"/>
    <w:rsid w:val="00C21391"/>
    <w:rsid w:val="00C23156"/>
    <w:rsid w:val="00C241CB"/>
    <w:rsid w:val="00C316DF"/>
    <w:rsid w:val="00C31A87"/>
    <w:rsid w:val="00C32123"/>
    <w:rsid w:val="00C32736"/>
    <w:rsid w:val="00C32C00"/>
    <w:rsid w:val="00C3343C"/>
    <w:rsid w:val="00C36E6D"/>
    <w:rsid w:val="00C37A5F"/>
    <w:rsid w:val="00C37CD7"/>
    <w:rsid w:val="00C42405"/>
    <w:rsid w:val="00C45203"/>
    <w:rsid w:val="00C51D25"/>
    <w:rsid w:val="00C5291F"/>
    <w:rsid w:val="00C549DB"/>
    <w:rsid w:val="00C54A4F"/>
    <w:rsid w:val="00C54AD4"/>
    <w:rsid w:val="00C54DF3"/>
    <w:rsid w:val="00C56B06"/>
    <w:rsid w:val="00C61F11"/>
    <w:rsid w:val="00C62401"/>
    <w:rsid w:val="00C62DCE"/>
    <w:rsid w:val="00C631DE"/>
    <w:rsid w:val="00C64381"/>
    <w:rsid w:val="00C64893"/>
    <w:rsid w:val="00C65C27"/>
    <w:rsid w:val="00C662AA"/>
    <w:rsid w:val="00C7596F"/>
    <w:rsid w:val="00C75E7E"/>
    <w:rsid w:val="00C76643"/>
    <w:rsid w:val="00C77A34"/>
    <w:rsid w:val="00C82B49"/>
    <w:rsid w:val="00C82B9D"/>
    <w:rsid w:val="00C82BB4"/>
    <w:rsid w:val="00C852CA"/>
    <w:rsid w:val="00C85FEB"/>
    <w:rsid w:val="00C86990"/>
    <w:rsid w:val="00C87DB8"/>
    <w:rsid w:val="00C92D95"/>
    <w:rsid w:val="00C938F1"/>
    <w:rsid w:val="00C949AE"/>
    <w:rsid w:val="00CA311B"/>
    <w:rsid w:val="00CA45C2"/>
    <w:rsid w:val="00CA54C8"/>
    <w:rsid w:val="00CA767D"/>
    <w:rsid w:val="00CB1DAD"/>
    <w:rsid w:val="00CB540F"/>
    <w:rsid w:val="00CB64AE"/>
    <w:rsid w:val="00CB6738"/>
    <w:rsid w:val="00CB67CC"/>
    <w:rsid w:val="00CC01B4"/>
    <w:rsid w:val="00CC0E0F"/>
    <w:rsid w:val="00CC2E79"/>
    <w:rsid w:val="00CC2EC0"/>
    <w:rsid w:val="00CC524D"/>
    <w:rsid w:val="00CC5D98"/>
    <w:rsid w:val="00CC6137"/>
    <w:rsid w:val="00CD1574"/>
    <w:rsid w:val="00CD1CCD"/>
    <w:rsid w:val="00CD1E32"/>
    <w:rsid w:val="00CD1E80"/>
    <w:rsid w:val="00CD20A4"/>
    <w:rsid w:val="00CD473A"/>
    <w:rsid w:val="00CD4BCA"/>
    <w:rsid w:val="00CD570D"/>
    <w:rsid w:val="00CE1306"/>
    <w:rsid w:val="00CE5116"/>
    <w:rsid w:val="00CE52FB"/>
    <w:rsid w:val="00CE6F08"/>
    <w:rsid w:val="00CF208F"/>
    <w:rsid w:val="00CF27D3"/>
    <w:rsid w:val="00CF44C8"/>
    <w:rsid w:val="00CF5CDE"/>
    <w:rsid w:val="00CF7A50"/>
    <w:rsid w:val="00D00802"/>
    <w:rsid w:val="00D01EE4"/>
    <w:rsid w:val="00D0241D"/>
    <w:rsid w:val="00D053BA"/>
    <w:rsid w:val="00D05C72"/>
    <w:rsid w:val="00D06BC6"/>
    <w:rsid w:val="00D07C44"/>
    <w:rsid w:val="00D10CDF"/>
    <w:rsid w:val="00D1270E"/>
    <w:rsid w:val="00D12B36"/>
    <w:rsid w:val="00D1468E"/>
    <w:rsid w:val="00D169B6"/>
    <w:rsid w:val="00D16B53"/>
    <w:rsid w:val="00D201C7"/>
    <w:rsid w:val="00D21F0C"/>
    <w:rsid w:val="00D24676"/>
    <w:rsid w:val="00D24A7E"/>
    <w:rsid w:val="00D254F9"/>
    <w:rsid w:val="00D33407"/>
    <w:rsid w:val="00D33BFA"/>
    <w:rsid w:val="00D341F6"/>
    <w:rsid w:val="00D35C51"/>
    <w:rsid w:val="00D36CED"/>
    <w:rsid w:val="00D40A32"/>
    <w:rsid w:val="00D4204F"/>
    <w:rsid w:val="00D43DAB"/>
    <w:rsid w:val="00D443ED"/>
    <w:rsid w:val="00D475C9"/>
    <w:rsid w:val="00D57042"/>
    <w:rsid w:val="00D573C6"/>
    <w:rsid w:val="00D60B65"/>
    <w:rsid w:val="00D65B44"/>
    <w:rsid w:val="00D66386"/>
    <w:rsid w:val="00D6640E"/>
    <w:rsid w:val="00D700CF"/>
    <w:rsid w:val="00D718FB"/>
    <w:rsid w:val="00D74108"/>
    <w:rsid w:val="00D74447"/>
    <w:rsid w:val="00D74BA9"/>
    <w:rsid w:val="00D75E12"/>
    <w:rsid w:val="00D772DC"/>
    <w:rsid w:val="00D77D83"/>
    <w:rsid w:val="00D80C63"/>
    <w:rsid w:val="00D82394"/>
    <w:rsid w:val="00D824DB"/>
    <w:rsid w:val="00D87836"/>
    <w:rsid w:val="00D92CFC"/>
    <w:rsid w:val="00D94948"/>
    <w:rsid w:val="00DA1F44"/>
    <w:rsid w:val="00DA252E"/>
    <w:rsid w:val="00DA75D7"/>
    <w:rsid w:val="00DB06B9"/>
    <w:rsid w:val="00DB3B19"/>
    <w:rsid w:val="00DB6AD7"/>
    <w:rsid w:val="00DC0545"/>
    <w:rsid w:val="00DC2BC1"/>
    <w:rsid w:val="00DC2E2A"/>
    <w:rsid w:val="00DC35C2"/>
    <w:rsid w:val="00DC37A2"/>
    <w:rsid w:val="00DC420F"/>
    <w:rsid w:val="00DC7A04"/>
    <w:rsid w:val="00DD0168"/>
    <w:rsid w:val="00DD343B"/>
    <w:rsid w:val="00DD4650"/>
    <w:rsid w:val="00DD4B2A"/>
    <w:rsid w:val="00DD680B"/>
    <w:rsid w:val="00DD686F"/>
    <w:rsid w:val="00DE0857"/>
    <w:rsid w:val="00DE2FD1"/>
    <w:rsid w:val="00DE3C95"/>
    <w:rsid w:val="00DE46C2"/>
    <w:rsid w:val="00DE4739"/>
    <w:rsid w:val="00DE6069"/>
    <w:rsid w:val="00DE637B"/>
    <w:rsid w:val="00DE6FA2"/>
    <w:rsid w:val="00DF1F81"/>
    <w:rsid w:val="00E00FD3"/>
    <w:rsid w:val="00E02434"/>
    <w:rsid w:val="00E03678"/>
    <w:rsid w:val="00E03D04"/>
    <w:rsid w:val="00E1007D"/>
    <w:rsid w:val="00E10204"/>
    <w:rsid w:val="00E1092C"/>
    <w:rsid w:val="00E11744"/>
    <w:rsid w:val="00E11852"/>
    <w:rsid w:val="00E148E6"/>
    <w:rsid w:val="00E16D98"/>
    <w:rsid w:val="00E201A8"/>
    <w:rsid w:val="00E21F97"/>
    <w:rsid w:val="00E238B1"/>
    <w:rsid w:val="00E23A2A"/>
    <w:rsid w:val="00E25699"/>
    <w:rsid w:val="00E26834"/>
    <w:rsid w:val="00E2796C"/>
    <w:rsid w:val="00E27D54"/>
    <w:rsid w:val="00E300B3"/>
    <w:rsid w:val="00E31127"/>
    <w:rsid w:val="00E31D38"/>
    <w:rsid w:val="00E345FA"/>
    <w:rsid w:val="00E4021F"/>
    <w:rsid w:val="00E40628"/>
    <w:rsid w:val="00E40DFF"/>
    <w:rsid w:val="00E412A1"/>
    <w:rsid w:val="00E41745"/>
    <w:rsid w:val="00E44B56"/>
    <w:rsid w:val="00E47B33"/>
    <w:rsid w:val="00E538DB"/>
    <w:rsid w:val="00E54221"/>
    <w:rsid w:val="00E576E7"/>
    <w:rsid w:val="00E577A1"/>
    <w:rsid w:val="00E5786A"/>
    <w:rsid w:val="00E63833"/>
    <w:rsid w:val="00E65E80"/>
    <w:rsid w:val="00E674A1"/>
    <w:rsid w:val="00E71E25"/>
    <w:rsid w:val="00E72694"/>
    <w:rsid w:val="00E7387D"/>
    <w:rsid w:val="00E7408B"/>
    <w:rsid w:val="00E81348"/>
    <w:rsid w:val="00E84325"/>
    <w:rsid w:val="00E8592E"/>
    <w:rsid w:val="00E86338"/>
    <w:rsid w:val="00E8696B"/>
    <w:rsid w:val="00E86F54"/>
    <w:rsid w:val="00E907D2"/>
    <w:rsid w:val="00E91334"/>
    <w:rsid w:val="00E92119"/>
    <w:rsid w:val="00E9447D"/>
    <w:rsid w:val="00E948F1"/>
    <w:rsid w:val="00EA1CC8"/>
    <w:rsid w:val="00EA2AA0"/>
    <w:rsid w:val="00EA6B3C"/>
    <w:rsid w:val="00EB01E4"/>
    <w:rsid w:val="00EB226F"/>
    <w:rsid w:val="00EB2820"/>
    <w:rsid w:val="00EB3935"/>
    <w:rsid w:val="00EB54DF"/>
    <w:rsid w:val="00EB5E63"/>
    <w:rsid w:val="00EB6742"/>
    <w:rsid w:val="00EB706C"/>
    <w:rsid w:val="00EB7221"/>
    <w:rsid w:val="00EB7D93"/>
    <w:rsid w:val="00EC12C4"/>
    <w:rsid w:val="00EC4F7A"/>
    <w:rsid w:val="00EC51A0"/>
    <w:rsid w:val="00EC632A"/>
    <w:rsid w:val="00EC76B7"/>
    <w:rsid w:val="00ED002A"/>
    <w:rsid w:val="00ED0DC9"/>
    <w:rsid w:val="00ED2A3E"/>
    <w:rsid w:val="00ED54D3"/>
    <w:rsid w:val="00EE2CF9"/>
    <w:rsid w:val="00EE2D53"/>
    <w:rsid w:val="00EE5207"/>
    <w:rsid w:val="00EE6D99"/>
    <w:rsid w:val="00EE76BE"/>
    <w:rsid w:val="00EE793B"/>
    <w:rsid w:val="00EF1ACC"/>
    <w:rsid w:val="00EF1D31"/>
    <w:rsid w:val="00EF35F3"/>
    <w:rsid w:val="00EF4428"/>
    <w:rsid w:val="00EF7CAB"/>
    <w:rsid w:val="00F01263"/>
    <w:rsid w:val="00F1590F"/>
    <w:rsid w:val="00F15955"/>
    <w:rsid w:val="00F2174F"/>
    <w:rsid w:val="00F253A3"/>
    <w:rsid w:val="00F3410C"/>
    <w:rsid w:val="00F349F5"/>
    <w:rsid w:val="00F357DB"/>
    <w:rsid w:val="00F3624A"/>
    <w:rsid w:val="00F37BF5"/>
    <w:rsid w:val="00F43ED7"/>
    <w:rsid w:val="00F44598"/>
    <w:rsid w:val="00F472D7"/>
    <w:rsid w:val="00F514FD"/>
    <w:rsid w:val="00F53023"/>
    <w:rsid w:val="00F55DF9"/>
    <w:rsid w:val="00F57225"/>
    <w:rsid w:val="00F615DB"/>
    <w:rsid w:val="00F635A0"/>
    <w:rsid w:val="00F63EAD"/>
    <w:rsid w:val="00F6724A"/>
    <w:rsid w:val="00F703D3"/>
    <w:rsid w:val="00F70D5E"/>
    <w:rsid w:val="00F73610"/>
    <w:rsid w:val="00F7371D"/>
    <w:rsid w:val="00F76F89"/>
    <w:rsid w:val="00F7778E"/>
    <w:rsid w:val="00F77EC5"/>
    <w:rsid w:val="00F77F13"/>
    <w:rsid w:val="00F81FBE"/>
    <w:rsid w:val="00F828FE"/>
    <w:rsid w:val="00F82EBD"/>
    <w:rsid w:val="00F84D11"/>
    <w:rsid w:val="00F860C8"/>
    <w:rsid w:val="00F93783"/>
    <w:rsid w:val="00F95DB7"/>
    <w:rsid w:val="00FA177A"/>
    <w:rsid w:val="00FA2CAE"/>
    <w:rsid w:val="00FA5738"/>
    <w:rsid w:val="00FA774A"/>
    <w:rsid w:val="00FA7E4C"/>
    <w:rsid w:val="00FB2B9C"/>
    <w:rsid w:val="00FB4417"/>
    <w:rsid w:val="00FB75DB"/>
    <w:rsid w:val="00FC1B09"/>
    <w:rsid w:val="00FC2170"/>
    <w:rsid w:val="00FC257A"/>
    <w:rsid w:val="00FC29D3"/>
    <w:rsid w:val="00FC3DFD"/>
    <w:rsid w:val="00FC4EA1"/>
    <w:rsid w:val="00FC5813"/>
    <w:rsid w:val="00FC72DA"/>
    <w:rsid w:val="00FD40C0"/>
    <w:rsid w:val="00FD6FE1"/>
    <w:rsid w:val="00FD7B97"/>
    <w:rsid w:val="00FE024C"/>
    <w:rsid w:val="00FE0521"/>
    <w:rsid w:val="00FE21EF"/>
    <w:rsid w:val="00FE4588"/>
    <w:rsid w:val="00FF0D77"/>
    <w:rsid w:val="00FF1AD8"/>
    <w:rsid w:val="00FF21EE"/>
    <w:rsid w:val="00FF2F71"/>
    <w:rsid w:val="00FF3C67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86E28"/>
  <w15:docId w15:val="{DE127F95-06CB-47B7-9D7F-64766F8F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616CC6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1A56BF"/>
    <w:pPr>
      <w:keepNext/>
      <w:numPr>
        <w:ilvl w:val="2"/>
      </w:numPr>
      <w:spacing w:before="240"/>
      <w:ind w:left="720"/>
      <w:contextualSpacing w:val="0"/>
      <w:outlineLvl w:val="2"/>
    </w:pPr>
    <w:rPr>
      <w:rFonts w:eastAsia="Times New Roman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16CC6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1A56BF"/>
    <w:rPr>
      <w:rFonts w:ascii="Verdana" w:eastAsia="Times New Roman" w:hAnsi="Verdana"/>
      <w:sz w:val="20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8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9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paragraph" w:customStyle="1" w:styleId="4DNormln">
    <w:name w:val="4D Normální"/>
    <w:link w:val="4DNormlnChar"/>
    <w:rsid w:val="004605D9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4605D9"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FontStyle33">
    <w:name w:val="Font Style33"/>
    <w:uiPriority w:val="99"/>
    <w:rsid w:val="00021315"/>
    <w:rPr>
      <w:rFonts w:ascii="Times New Roman" w:hAnsi="Times New Roman" w:cs="Times New Roman"/>
      <w:color w:val="000000"/>
      <w:sz w:val="20"/>
      <w:szCs w:val="20"/>
    </w:rPr>
  </w:style>
  <w:style w:type="paragraph" w:styleId="Zkladntext21">
    <w:name w:val="Body Text 2"/>
    <w:basedOn w:val="Normln"/>
    <w:link w:val="Zkladntext2Char"/>
    <w:uiPriority w:val="99"/>
    <w:semiHidden/>
    <w:unhideWhenUsed/>
    <w:rsid w:val="00181C2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181C27"/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4BA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4BA9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4BA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48EA"/>
    <w:rPr>
      <w:color w:val="605E5C"/>
      <w:shd w:val="clear" w:color="auto" w:fill="E1DFDD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722BC3"/>
    <w:pPr>
      <w:keepNext/>
      <w:numPr>
        <w:numId w:val="17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722BC3"/>
    <w:rPr>
      <w:rFonts w:ascii="Arial" w:eastAsia="Times New Roman" w:hAnsi="Arial" w:cs="Times New Roman"/>
      <w:b/>
      <w:szCs w:val="2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7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091EC-3225-4107-A881-6D110C11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4444</Words>
  <Characters>26225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Lucie Johnová</cp:lastModifiedBy>
  <cp:revision>9</cp:revision>
  <cp:lastPrinted>2025-06-02T07:37:00Z</cp:lastPrinted>
  <dcterms:created xsi:type="dcterms:W3CDTF">2025-04-23T08:10:00Z</dcterms:created>
  <dcterms:modified xsi:type="dcterms:W3CDTF">2025-06-02T07:41:00Z</dcterms:modified>
</cp:coreProperties>
</file>