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6B7BE65E" w14:textId="3827BF75" w:rsidR="00FD0B99" w:rsidRPr="002F42BE" w:rsidRDefault="002F42BE" w:rsidP="002F42BE">
      <w:pPr>
        <w:jc w:val="center"/>
        <w:rPr>
          <w:b/>
          <w:bCs/>
          <w:szCs w:val="20"/>
        </w:rPr>
      </w:pPr>
      <w:r w:rsidRPr="002F42BE">
        <w:rPr>
          <w:b/>
          <w:bCs/>
          <w:szCs w:val="20"/>
        </w:rPr>
        <w:t xml:space="preserve">Podkovářské služby pro rok </w:t>
      </w:r>
      <w:proofErr w:type="gramStart"/>
      <w:r w:rsidRPr="002F42BE">
        <w:rPr>
          <w:b/>
          <w:bCs/>
          <w:szCs w:val="20"/>
        </w:rPr>
        <w:t>2025 - 2027</w:t>
      </w:r>
      <w:proofErr w:type="gramEnd"/>
      <w:r w:rsidRPr="002F42BE">
        <w:rPr>
          <w:b/>
          <w:bCs/>
          <w:szCs w:val="20"/>
        </w:rPr>
        <w:t xml:space="preserve"> – Hřebčín Slatiňany</w:t>
      </w:r>
    </w:p>
    <w:p w14:paraId="23FCB189" w14:textId="6E4BC2C5" w:rsidR="00E913CB" w:rsidRPr="00E63CB9" w:rsidRDefault="00E913CB" w:rsidP="00FD0B99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F526B4D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 prokázání kvalifikace, o úplnosti a pravdivosti nabídky a souhlas s podmínkami zadávacího</w:t>
      </w:r>
      <w:r>
        <w:rPr>
          <w:b/>
          <w:bCs/>
          <w:caps/>
          <w:szCs w:val="20"/>
        </w:rPr>
        <w:t>/VÝBĚROVÉHO</w:t>
      </w:r>
      <w:r w:rsidRPr="00E913CB">
        <w:rPr>
          <w:b/>
          <w:bCs/>
          <w:caps/>
          <w:szCs w:val="20"/>
        </w:rPr>
        <w:t xml:space="preserve"> řízení</w:t>
      </w:r>
    </w:p>
    <w:p w14:paraId="27EB491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 tímto čestně prohlašuje, že:</w:t>
      </w:r>
    </w:p>
    <w:p w14:paraId="08606C60" w14:textId="77777777" w:rsidR="009D1954" w:rsidRPr="00E63CB9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specifikovanou v zadávací dokumentaci/výzvě;</w:t>
      </w:r>
    </w:p>
    <w:p w14:paraId="762A5100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50725AB2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>
        <w:rPr>
          <w:szCs w:val="20"/>
          <w:lang w:eastAsia="en-US"/>
        </w:rPr>
        <w:t>zadávacího/výběrového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4E0E3581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122783B6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10F49B89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12FF9603" w14:textId="77777777" w:rsidR="009D1954" w:rsidRPr="00D054B9" w:rsidRDefault="009D1954" w:rsidP="009D1954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722AB040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 veřejné zakázky</w:t>
      </w:r>
    </w:p>
    <w:p w14:paraId="6AB88C2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44E656D1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539D59CE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568B116C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3028310E" w14:textId="77777777" w:rsidR="009D1954" w:rsidRDefault="009D1954" w:rsidP="009D1954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10EEB13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3012521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49E52463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76B1BB7C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1B7275DE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112075D5" w14:textId="77777777" w:rsidR="009D1954" w:rsidRPr="00E94412" w:rsidRDefault="009D1954" w:rsidP="009D1954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předkládá čestné prohlášení o neexistenci střetu zájmů v</w:t>
      </w:r>
      <w:r>
        <w:rPr>
          <w:szCs w:val="20"/>
        </w:rPr>
        <w:t> </w:t>
      </w:r>
      <w:r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Pr="00E94412">
        <w:rPr>
          <w:szCs w:val="20"/>
        </w:rPr>
        <w:t>prohlašuje, že:</w:t>
      </w:r>
    </w:p>
    <w:p w14:paraId="255517FD" w14:textId="77777777" w:rsidR="009D1954" w:rsidRPr="00A72BBC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,</w:t>
      </w:r>
    </w:p>
    <w:p w14:paraId="4C8613CF" w14:textId="77777777" w:rsidR="009D1954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.</w:t>
      </w:r>
    </w:p>
    <w:p w14:paraId="4EB2D04E" w14:textId="77777777" w:rsidR="009D1954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Pr="00E913CB">
        <w:rPr>
          <w:b/>
          <w:bCs/>
          <w:caps/>
          <w:szCs w:val="20"/>
        </w:rPr>
        <w:t>Čestné prohlášení</w:t>
      </w:r>
    </w:p>
    <w:p w14:paraId="3CEE0D96" w14:textId="77777777" w:rsidR="009D1954" w:rsidRDefault="009D1954" w:rsidP="009D1954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138C17C0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0077D594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1049446B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Pr="007322B2">
        <w:rPr>
          <w:szCs w:val="20"/>
        </w:rPr>
        <w:t xml:space="preserve">) nebo </w:t>
      </w:r>
      <w:r>
        <w:rPr>
          <w:szCs w:val="20"/>
        </w:rPr>
        <w:t>b</w:t>
      </w:r>
      <w:r w:rsidRPr="007322B2">
        <w:rPr>
          <w:szCs w:val="20"/>
        </w:rPr>
        <w:t>)</w:t>
      </w:r>
      <w:r>
        <w:rPr>
          <w:szCs w:val="20"/>
        </w:rPr>
        <w:t xml:space="preserve"> tohoto článku,</w:t>
      </w:r>
    </w:p>
    <w:p w14:paraId="65D2727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>
        <w:rPr>
          <w:szCs w:val="20"/>
        </w:rPr>
        <w:t>a</w:t>
      </w:r>
      <w:r w:rsidRPr="00363574">
        <w:rPr>
          <w:szCs w:val="20"/>
        </w:rPr>
        <w:t>)</w:t>
      </w:r>
      <w:r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>
        <w:rPr>
          <w:szCs w:val="20"/>
        </w:rPr>
        <w:t>,</w:t>
      </w:r>
    </w:p>
    <w:p w14:paraId="557D5FE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(ii) české právní předpisy, zejména zákon č. 69/2006 Sb., o provádění mezinárodních sankcí, v</w:t>
      </w:r>
      <w:r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>
        <w:rPr>
          <w:szCs w:val="20"/>
        </w:rPr>
        <w:t>a</w:t>
      </w:r>
      <w:r w:rsidRPr="00DF7149">
        <w:rPr>
          <w:szCs w:val="20"/>
        </w:rPr>
        <w:t>)</w:t>
      </w:r>
      <w:r>
        <w:rPr>
          <w:szCs w:val="20"/>
        </w:rPr>
        <w:t>, b</w:t>
      </w:r>
      <w:r w:rsidRPr="00DF7149">
        <w:rPr>
          <w:szCs w:val="20"/>
        </w:rPr>
        <w:t>)</w:t>
      </w:r>
      <w:r>
        <w:rPr>
          <w:szCs w:val="20"/>
        </w:rPr>
        <w:t>, c) a d),</w:t>
      </w:r>
    </w:p>
    <w:p w14:paraId="45D448CD" w14:textId="77777777" w:rsidR="009D1954" w:rsidRPr="00BF7FF1" w:rsidRDefault="009D1954" w:rsidP="009D195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7BF9C94B" w14:textId="77777777" w:rsidR="009D1954" w:rsidRPr="00E75CE5" w:rsidRDefault="009D1954" w:rsidP="009D1954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258B0CF9" w14:textId="4BFB9882" w:rsidR="005814D3" w:rsidRPr="00E94412" w:rsidRDefault="009D1954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C81B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881" w14:textId="77777777" w:rsidR="00C81BF3" w:rsidRDefault="00C81BF3" w:rsidP="00BA5E8D">
      <w:r>
        <w:separator/>
      </w:r>
    </w:p>
  </w:endnote>
  <w:endnote w:type="continuationSeparator" w:id="0">
    <w:p w14:paraId="6AB26C7A" w14:textId="77777777" w:rsidR="00C81BF3" w:rsidRDefault="00C81BF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028C" w14:textId="77777777" w:rsidR="00C81BF3" w:rsidRDefault="00C81BF3" w:rsidP="00BA5E8D">
      <w:r>
        <w:separator/>
      </w:r>
    </w:p>
  </w:footnote>
  <w:footnote w:type="continuationSeparator" w:id="0">
    <w:p w14:paraId="4F69C6C9" w14:textId="77777777" w:rsidR="00C81BF3" w:rsidRDefault="00C81BF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471931A1" w14:textId="77777777" w:rsidR="002F42BE" w:rsidRPr="00C4548E" w:rsidRDefault="002F42BE" w:rsidP="002F42BE">
    <w:pPr>
      <w:jc w:val="center"/>
      <w:rPr>
        <w:b/>
        <w:bCs/>
        <w:szCs w:val="20"/>
      </w:rPr>
    </w:pPr>
    <w:r w:rsidRPr="00C4548E">
      <w:rPr>
        <w:b/>
        <w:bCs/>
        <w:color w:val="404040" w:themeColor="text1" w:themeTint="BF"/>
        <w:szCs w:val="20"/>
      </w:rPr>
      <w:t xml:space="preserve">Podkovářské služby pro rok </w:t>
    </w:r>
    <w:proofErr w:type="gramStart"/>
    <w:r w:rsidRPr="00C4548E">
      <w:rPr>
        <w:b/>
        <w:bCs/>
        <w:color w:val="404040" w:themeColor="text1" w:themeTint="BF"/>
        <w:szCs w:val="20"/>
      </w:rPr>
      <w:t>2025 - 2027</w:t>
    </w:r>
    <w:proofErr w:type="gramEnd"/>
    <w:r w:rsidRPr="00C4548E">
      <w:rPr>
        <w:b/>
        <w:bCs/>
        <w:color w:val="404040" w:themeColor="text1" w:themeTint="BF"/>
        <w:szCs w:val="20"/>
      </w:rPr>
      <w:t xml:space="preserve"> – Hřebčín Slatiňany</w:t>
    </w: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27F13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42ACE"/>
    <w:rsid w:val="00260AB0"/>
    <w:rsid w:val="00274D14"/>
    <w:rsid w:val="002827D9"/>
    <w:rsid w:val="002937E8"/>
    <w:rsid w:val="002D2D6C"/>
    <w:rsid w:val="002F42BE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13C8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C64"/>
    <w:rsid w:val="00730BB2"/>
    <w:rsid w:val="00731E7D"/>
    <w:rsid w:val="007322B2"/>
    <w:rsid w:val="007465C5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278B"/>
    <w:rsid w:val="00934AF2"/>
    <w:rsid w:val="009B734F"/>
    <w:rsid w:val="009C7348"/>
    <w:rsid w:val="009D1567"/>
    <w:rsid w:val="009D1954"/>
    <w:rsid w:val="009E0138"/>
    <w:rsid w:val="00A44885"/>
    <w:rsid w:val="00A44F73"/>
    <w:rsid w:val="00A62094"/>
    <w:rsid w:val="00A72BBC"/>
    <w:rsid w:val="00A84537"/>
    <w:rsid w:val="00AA27CF"/>
    <w:rsid w:val="00AC540D"/>
    <w:rsid w:val="00AC728B"/>
    <w:rsid w:val="00AC7D05"/>
    <w:rsid w:val="00AD5D2C"/>
    <w:rsid w:val="00B07739"/>
    <w:rsid w:val="00B15CBC"/>
    <w:rsid w:val="00B173CC"/>
    <w:rsid w:val="00B81E08"/>
    <w:rsid w:val="00BA5E8D"/>
    <w:rsid w:val="00BB50DD"/>
    <w:rsid w:val="00BD4F1D"/>
    <w:rsid w:val="00BF7FF1"/>
    <w:rsid w:val="00C0052D"/>
    <w:rsid w:val="00C56352"/>
    <w:rsid w:val="00C65317"/>
    <w:rsid w:val="00C654F4"/>
    <w:rsid w:val="00C75594"/>
    <w:rsid w:val="00C76782"/>
    <w:rsid w:val="00C81BF3"/>
    <w:rsid w:val="00CA1773"/>
    <w:rsid w:val="00CB56AC"/>
    <w:rsid w:val="00CF2FB9"/>
    <w:rsid w:val="00D054B9"/>
    <w:rsid w:val="00D11B5A"/>
    <w:rsid w:val="00D22562"/>
    <w:rsid w:val="00D2492E"/>
    <w:rsid w:val="00D567FB"/>
    <w:rsid w:val="00D97613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67C15"/>
    <w:rsid w:val="00E913CB"/>
    <w:rsid w:val="00E94412"/>
    <w:rsid w:val="00F02D73"/>
    <w:rsid w:val="00F0547D"/>
    <w:rsid w:val="00F1300F"/>
    <w:rsid w:val="00F15419"/>
    <w:rsid w:val="00F34C2B"/>
    <w:rsid w:val="00F425E7"/>
    <w:rsid w:val="00F53954"/>
    <w:rsid w:val="00F60043"/>
    <w:rsid w:val="00F73716"/>
    <w:rsid w:val="00FA6D26"/>
    <w:rsid w:val="00FB59A7"/>
    <w:rsid w:val="00FD0B99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</cp:revision>
  <cp:lastPrinted>2025-05-16T08:34:00Z</cp:lastPrinted>
  <dcterms:created xsi:type="dcterms:W3CDTF">2025-05-22T06:23:00Z</dcterms:created>
  <dcterms:modified xsi:type="dcterms:W3CDTF">2025-05-22T06:23:00Z</dcterms:modified>
</cp:coreProperties>
</file>