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2B17CE95" w:rsidR="00B0410B" w:rsidRPr="00C127EF" w:rsidRDefault="008040FD" w:rsidP="008040FD">
            <w:pPr>
              <w:spacing w:line="276" w:lineRule="auto"/>
              <w:rPr>
                <w:rFonts w:ascii="Arial" w:eastAsia="Calibri" w:hAnsi="Arial" w:cs="Arial"/>
                <w:b/>
                <w:sz w:val="20"/>
                <w:szCs w:val="20"/>
              </w:rPr>
            </w:pPr>
            <w:r w:rsidRPr="008040FD">
              <w:rPr>
                <w:rFonts w:ascii="Arial" w:eastAsia="Calibri" w:hAnsi="Arial" w:cs="Arial"/>
                <w:b/>
                <w:sz w:val="20"/>
                <w:szCs w:val="20"/>
              </w:rPr>
              <w:t>Hučivá Desná, Kouty n. Desnou - soutok s Poniklým potokem – rekonstrukce (stabilizace) koryta toku v úseku 0,000 – 2,110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74AA331" w:rsidR="00B0410B" w:rsidRPr="00192869" w:rsidRDefault="00192869" w:rsidP="007D307C">
            <w:pPr>
              <w:spacing w:line="276" w:lineRule="auto"/>
              <w:rPr>
                <w:rFonts w:ascii="Arial" w:eastAsia="Calibri" w:hAnsi="Arial" w:cs="Arial"/>
                <w:color w:val="0000FF"/>
                <w:sz w:val="20"/>
                <w:szCs w:val="20"/>
                <w:u w:val="single"/>
                <w:lang w:eastAsia="cs-CZ"/>
              </w:rPr>
            </w:pPr>
            <w:hyperlink r:id="rId8" w:history="1">
              <w:r w:rsidRPr="00F66CA2">
                <w:rPr>
                  <w:rStyle w:val="Hypertextovodkaz"/>
                  <w:rFonts w:ascii="Arial" w:hAnsi="Arial" w:cs="Arial"/>
                  <w:sz w:val="20"/>
                  <w:szCs w:val="20"/>
                </w:rPr>
                <w:t>https://zakazky.eagri.cz/contract_display_20583.html</w:t>
              </w:r>
            </w:hyperlink>
            <w:r>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bookmarkStart w:id="0" w:name="_GoBack"/>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55634D11" w:rsidR="00B66CCB" w:rsidRPr="00B66CCB" w:rsidRDefault="00B66CCB" w:rsidP="00192869">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D307C"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29E27E0"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Dokumentace k ohlášení udržovacích prací, popř.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2B3B5197"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64AC1EAC"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744209F"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2869"/>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0FD"/>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34C"/>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1C23"/>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8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A483-8DAC-4E08-84A5-9F11BB5F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645</Words>
  <Characters>4252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4888</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48</cp:revision>
  <cp:lastPrinted>2025-05-30T07:27:00Z</cp:lastPrinted>
  <dcterms:created xsi:type="dcterms:W3CDTF">2024-02-22T09:43:00Z</dcterms:created>
  <dcterms:modified xsi:type="dcterms:W3CDTF">2025-05-30T07:27:00Z</dcterms:modified>
</cp:coreProperties>
</file>