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87AF" w14:textId="77777777" w:rsidR="00C91D3D" w:rsidRDefault="00C91D3D" w:rsidP="00D03C79">
      <w:pPr>
        <w:tabs>
          <w:tab w:val="right" w:pos="9214"/>
        </w:tabs>
        <w:suppressAutoHyphens/>
        <w:rPr>
          <w:rFonts w:ascii="Arial" w:hAnsi="Arial" w:cs="Arial"/>
          <w:sz w:val="20"/>
          <w:szCs w:val="18"/>
          <w:lang w:eastAsia="ar-SA"/>
        </w:rPr>
      </w:pPr>
    </w:p>
    <w:p w14:paraId="1A4E9506" w14:textId="63E76F8E"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4CB75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361E1B5A"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C91D3D">
        <w:rPr>
          <w:rFonts w:ascii="Arial" w:hAnsi="Arial" w:cs="Arial"/>
          <w:sz w:val="20"/>
          <w:szCs w:val="20"/>
          <w:lang w:eastAsia="ar-SA"/>
        </w:rPr>
        <w:t>Ing. Eliška Kubíková</w:t>
      </w:r>
      <w:r w:rsidRPr="00B8331F">
        <w:rPr>
          <w:rFonts w:ascii="Arial" w:hAnsi="Arial" w:cs="Arial"/>
          <w:sz w:val="20"/>
          <w:szCs w:val="20"/>
          <w:lang w:eastAsia="ar-SA"/>
        </w:rPr>
        <w:t xml:space="preserve">, funkce: </w:t>
      </w:r>
      <w:r w:rsidR="00C91D3D">
        <w:rPr>
          <w:rFonts w:ascii="Arial" w:hAnsi="Arial" w:cs="Arial"/>
          <w:sz w:val="20"/>
          <w:szCs w:val="20"/>
          <w:lang w:eastAsia="ar-SA"/>
        </w:rPr>
        <w:t>projektový manažer</w:t>
      </w:r>
    </w:p>
    <w:p w14:paraId="36362CDE" w14:textId="5B3B341C"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C91D3D">
        <w:rPr>
          <w:rFonts w:ascii="Arial" w:hAnsi="Arial" w:cs="Arial"/>
          <w:sz w:val="20"/>
          <w:szCs w:val="20"/>
          <w:lang w:eastAsia="ar-SA"/>
        </w:rPr>
        <w:t>+420 734 426 385</w:t>
      </w:r>
    </w:p>
    <w:p w14:paraId="57640A87" w14:textId="02584C58"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72EC4" w:rsidRPr="006B0DFF">
          <w:rPr>
            <w:rStyle w:val="Hypertextovodkaz"/>
            <w:rFonts w:ascii="Arial" w:hAnsi="Arial" w:cs="Arial"/>
            <w:sz w:val="20"/>
            <w:szCs w:val="20"/>
            <w:lang w:eastAsia="ar-SA"/>
          </w:rPr>
          <w:t>kubikova@pmo.cz</w:t>
        </w:r>
      </w:hyperlink>
    </w:p>
    <w:p w14:paraId="0602405E" w14:textId="107576C2" w:rsidR="00A72EC4" w:rsidRDefault="00A72EC4" w:rsidP="00D03C79">
      <w:pPr>
        <w:suppressAutoHyphens/>
        <w:ind w:left="357"/>
        <w:jc w:val="both"/>
        <w:rPr>
          <w:rFonts w:ascii="Arial" w:hAnsi="Arial" w:cs="Arial"/>
          <w:sz w:val="20"/>
          <w:szCs w:val="20"/>
          <w:lang w:eastAsia="ar-SA"/>
        </w:rPr>
      </w:pPr>
    </w:p>
    <w:p w14:paraId="5952E311"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t>724 789 687</w:t>
      </w:r>
      <w:r>
        <w:rPr>
          <w:rFonts w:ascii="Arial" w:hAnsi="Arial" w:cs="Arial"/>
          <w:sz w:val="20"/>
          <w:szCs w:val="20"/>
          <w:lang w:eastAsia="ar-SA"/>
        </w:rPr>
        <w:b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05599918" w14:textId="77777777" w:rsidR="00A72EC4" w:rsidRPr="00B8331F" w:rsidRDefault="00A72EC4" w:rsidP="00D03C79">
      <w:pPr>
        <w:suppressAutoHyphens/>
        <w:ind w:left="357"/>
        <w:jc w:val="both"/>
        <w:rPr>
          <w:rFonts w:ascii="Arial" w:hAnsi="Arial" w:cs="Arial"/>
          <w:sz w:val="20"/>
          <w:szCs w:val="20"/>
          <w:lang w:eastAsia="ar-SA"/>
        </w:rPr>
      </w:pP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0394AD50" w:rsidR="0094456D" w:rsidRPr="00577DF8"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lastRenderedPageBreak/>
        <w:t xml:space="preserve">Podkladem pro uzavření Smlouvy je nabídka Zhotovitele podaná </w:t>
      </w:r>
      <w:r w:rsidRPr="00577DF8">
        <w:rPr>
          <w:rFonts w:ascii="Arial" w:hAnsi="Arial" w:cs="Arial"/>
          <w:sz w:val="20"/>
          <w:szCs w:val="20"/>
          <w:lang w:eastAsia="ar-SA"/>
        </w:rPr>
        <w:t xml:space="preserve">do </w:t>
      </w:r>
      <w:r w:rsidR="00D07CE7">
        <w:rPr>
          <w:rFonts w:ascii="Arial" w:hAnsi="Arial" w:cs="Arial"/>
          <w:sz w:val="20"/>
          <w:szCs w:val="20"/>
          <w:lang w:eastAsia="ar-SA"/>
        </w:rPr>
        <w:t>výběrového</w:t>
      </w:r>
      <w:bookmarkStart w:id="0" w:name="_GoBack"/>
      <w:bookmarkEnd w:id="0"/>
      <w:r w:rsidRPr="00577DF8">
        <w:rPr>
          <w:rFonts w:ascii="Arial" w:hAnsi="Arial" w:cs="Arial"/>
          <w:sz w:val="20"/>
          <w:szCs w:val="20"/>
          <w:lang w:eastAsia="ar-SA"/>
        </w:rPr>
        <w:t xml:space="preserve"> řízení veřejné zakázky malého rozsahu na stavební práce s názvem „</w:t>
      </w:r>
      <w:bookmarkStart w:id="1" w:name="_Hlk203724917"/>
      <w:r w:rsidR="00C91D3D" w:rsidRPr="00577DF8">
        <w:rPr>
          <w:rFonts w:ascii="Arial" w:hAnsi="Arial" w:cs="Arial"/>
          <w:sz w:val="20"/>
          <w:szCs w:val="20"/>
          <w:lang w:eastAsia="ar-SA"/>
        </w:rPr>
        <w:t>Bečva, Hustopeče – Valašské Meziříčí, ř.</w:t>
      </w:r>
      <w:r w:rsidR="00594288" w:rsidRPr="00577DF8">
        <w:rPr>
          <w:rFonts w:ascii="Arial" w:hAnsi="Arial" w:cs="Arial"/>
          <w:sz w:val="20"/>
          <w:szCs w:val="20"/>
          <w:lang w:eastAsia="ar-SA"/>
        </w:rPr>
        <w:t> </w:t>
      </w:r>
      <w:r w:rsidR="00C91D3D" w:rsidRPr="00577DF8">
        <w:rPr>
          <w:rFonts w:ascii="Arial" w:hAnsi="Arial" w:cs="Arial"/>
          <w:sz w:val="20"/>
          <w:szCs w:val="20"/>
          <w:lang w:eastAsia="ar-SA"/>
        </w:rPr>
        <w:t>km 52,400 – 61,800</w:t>
      </w:r>
      <w:bookmarkEnd w:id="1"/>
      <w:r w:rsidRPr="00577DF8">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Pr="00577DF8"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191D0D51"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594288" w:rsidRPr="00594288">
        <w:rPr>
          <w:rFonts w:ascii="Arial" w:hAnsi="Arial" w:cs="Arial"/>
          <w:b/>
          <w:sz w:val="20"/>
          <w:szCs w:val="20"/>
          <w:lang w:eastAsia="ar-SA"/>
        </w:rPr>
        <w:t>Bečva, Hustopeče – Valašské Meziříčí, ř. km 52,400 – 61,800</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245CDAA0" w14:textId="77777777" w:rsidR="00594288" w:rsidRPr="00133F3D" w:rsidRDefault="00B60A9B" w:rsidP="00594288">
      <w:pPr>
        <w:numPr>
          <w:ilvl w:val="1"/>
          <w:numId w:val="12"/>
        </w:numPr>
        <w:suppressAutoHyphens/>
        <w:jc w:val="both"/>
        <w:rPr>
          <w:rFonts w:ascii="Arial" w:hAnsi="Arial" w:cs="Arial"/>
          <w:sz w:val="20"/>
          <w:szCs w:val="20"/>
        </w:rPr>
      </w:pPr>
      <w:r w:rsidRPr="00133F3D">
        <w:rPr>
          <w:rFonts w:ascii="Arial" w:hAnsi="Arial" w:cs="Arial"/>
          <w:sz w:val="20"/>
          <w:szCs w:val="20"/>
        </w:rPr>
        <w:t>Dílem se rozumí zhotovení stavby spočívající zejména v</w:t>
      </w:r>
      <w:r w:rsidR="00594288" w:rsidRPr="00133F3D">
        <w:rPr>
          <w:rFonts w:ascii="Arial" w:hAnsi="Arial" w:cs="Arial"/>
          <w:sz w:val="20"/>
          <w:szCs w:val="20"/>
        </w:rPr>
        <w:t> opravě poničených dlažeb na tělese jezu, přeskládání části kamenného záhozu za vývarem a oprava výtrží v patě opevnění na řece Bečvě.</w:t>
      </w:r>
    </w:p>
    <w:p w14:paraId="66804776" w14:textId="348D1B4B" w:rsidR="00EB046B" w:rsidRPr="00133F3D" w:rsidRDefault="00594288" w:rsidP="00594288">
      <w:pPr>
        <w:suppressAutoHyphens/>
        <w:ind w:left="360"/>
        <w:jc w:val="both"/>
        <w:rPr>
          <w:rFonts w:ascii="Arial" w:hAnsi="Arial" w:cs="Arial"/>
          <w:sz w:val="20"/>
          <w:szCs w:val="20"/>
        </w:rPr>
      </w:pPr>
      <w:r w:rsidRPr="00133F3D">
        <w:rPr>
          <w:rFonts w:ascii="Arial" w:hAnsi="Arial" w:cs="Arial"/>
          <w:sz w:val="20"/>
          <w:szCs w:val="20"/>
        </w:rPr>
        <w:t xml:space="preserve"> </w:t>
      </w:r>
    </w:p>
    <w:p w14:paraId="62426F6E" w14:textId="40D8DD05" w:rsidR="00EB046B" w:rsidRPr="00133F3D" w:rsidRDefault="00EB046B" w:rsidP="00D03C79">
      <w:pPr>
        <w:numPr>
          <w:ilvl w:val="1"/>
          <w:numId w:val="12"/>
        </w:numPr>
        <w:suppressAutoHyphens/>
        <w:jc w:val="both"/>
        <w:rPr>
          <w:rFonts w:ascii="Arial" w:hAnsi="Arial" w:cs="Arial"/>
          <w:sz w:val="20"/>
          <w:szCs w:val="20"/>
        </w:rPr>
      </w:pPr>
      <w:r w:rsidRPr="00133F3D">
        <w:rPr>
          <w:rFonts w:ascii="Arial" w:hAnsi="Arial" w:cs="Arial"/>
          <w:sz w:val="20"/>
          <w:szCs w:val="20"/>
        </w:rPr>
        <w:t xml:space="preserve">Dílo bude sloužit k následujícímu účelu: </w:t>
      </w:r>
      <w:r w:rsidR="00594288" w:rsidRPr="00133F3D">
        <w:rPr>
          <w:rFonts w:ascii="Arial" w:hAnsi="Arial" w:cs="Arial"/>
          <w:sz w:val="20"/>
          <w:szCs w:val="20"/>
          <w:lang w:eastAsia="ar-SA"/>
        </w:rPr>
        <w:t>ke stabilizace břehů a dna koryta toku.</w:t>
      </w:r>
    </w:p>
    <w:p w14:paraId="29B9A894" w14:textId="77777777" w:rsidR="00EB046B" w:rsidRPr="00133F3D" w:rsidRDefault="00EB046B" w:rsidP="00D03C79">
      <w:pPr>
        <w:suppressAutoHyphens/>
        <w:ind w:left="360"/>
        <w:jc w:val="both"/>
        <w:rPr>
          <w:rFonts w:ascii="Arial" w:hAnsi="Arial" w:cs="Arial"/>
          <w:sz w:val="20"/>
          <w:szCs w:val="20"/>
        </w:rPr>
      </w:pPr>
    </w:p>
    <w:p w14:paraId="5284F288" w14:textId="1CEFEE45" w:rsidR="008610FB" w:rsidRPr="00133F3D" w:rsidRDefault="00EB046B" w:rsidP="00D03C79">
      <w:pPr>
        <w:numPr>
          <w:ilvl w:val="1"/>
          <w:numId w:val="12"/>
        </w:numPr>
        <w:suppressAutoHyphens/>
        <w:jc w:val="both"/>
        <w:rPr>
          <w:rFonts w:ascii="Arial" w:hAnsi="Arial" w:cs="Arial"/>
          <w:sz w:val="20"/>
          <w:szCs w:val="20"/>
        </w:rPr>
      </w:pPr>
      <w:r w:rsidRPr="00133F3D">
        <w:rPr>
          <w:rFonts w:ascii="Arial" w:hAnsi="Arial" w:cs="Arial"/>
          <w:sz w:val="20"/>
          <w:szCs w:val="20"/>
        </w:rPr>
        <w:t>Bližší s</w:t>
      </w:r>
      <w:r w:rsidR="00FE65EA" w:rsidRPr="00133F3D">
        <w:rPr>
          <w:rFonts w:ascii="Arial" w:hAnsi="Arial" w:cs="Arial"/>
          <w:sz w:val="20"/>
          <w:szCs w:val="20"/>
        </w:rPr>
        <w:t xml:space="preserve">pecifikace a rozsah </w:t>
      </w:r>
      <w:r w:rsidR="00F97ED8" w:rsidRPr="00133F3D">
        <w:rPr>
          <w:rFonts w:ascii="Arial" w:hAnsi="Arial" w:cs="Arial"/>
          <w:sz w:val="20"/>
          <w:szCs w:val="20"/>
        </w:rPr>
        <w:t>Díla</w:t>
      </w:r>
      <w:r w:rsidR="00FE65EA" w:rsidRPr="00133F3D">
        <w:rPr>
          <w:rFonts w:ascii="Arial" w:hAnsi="Arial" w:cs="Arial"/>
          <w:sz w:val="20"/>
          <w:szCs w:val="20"/>
        </w:rPr>
        <w:t xml:space="preserve"> je dán </w:t>
      </w:r>
      <w:r w:rsidR="00F97ED8" w:rsidRPr="00133F3D">
        <w:rPr>
          <w:rFonts w:ascii="Arial" w:hAnsi="Arial" w:cs="Arial"/>
          <w:sz w:val="20"/>
          <w:szCs w:val="20"/>
        </w:rPr>
        <w:t xml:space="preserve">zejména </w:t>
      </w:r>
      <w:r w:rsidR="00FE65EA" w:rsidRPr="00133F3D">
        <w:rPr>
          <w:rFonts w:ascii="Arial" w:hAnsi="Arial" w:cs="Arial"/>
          <w:sz w:val="20"/>
          <w:szCs w:val="20"/>
        </w:rPr>
        <w:t>projektovou dokumentací</w:t>
      </w:r>
      <w:r w:rsidR="00DE79B5" w:rsidRPr="00133F3D">
        <w:rPr>
          <w:rFonts w:ascii="Arial" w:hAnsi="Arial" w:cs="Arial"/>
          <w:sz w:val="20"/>
          <w:szCs w:val="20"/>
        </w:rPr>
        <w:t xml:space="preserve"> </w:t>
      </w:r>
      <w:r w:rsidR="00FE65EA" w:rsidRPr="00133F3D">
        <w:rPr>
          <w:rFonts w:ascii="Arial" w:hAnsi="Arial" w:cs="Arial"/>
          <w:sz w:val="20"/>
          <w:szCs w:val="20"/>
        </w:rPr>
        <w:t xml:space="preserve">pro </w:t>
      </w:r>
      <w:r w:rsidRPr="00133F3D">
        <w:rPr>
          <w:rFonts w:ascii="Arial" w:hAnsi="Arial" w:cs="Arial"/>
          <w:sz w:val="20"/>
        </w:rPr>
        <w:t>provádění</w:t>
      </w:r>
      <w:r w:rsidR="00FE65EA" w:rsidRPr="00133F3D">
        <w:rPr>
          <w:rFonts w:ascii="Arial" w:hAnsi="Arial" w:cs="Arial"/>
          <w:sz w:val="20"/>
          <w:szCs w:val="20"/>
        </w:rPr>
        <w:t xml:space="preserve"> stavby zpracovanou </w:t>
      </w:r>
      <w:r w:rsidR="00767CE3" w:rsidRPr="00133F3D">
        <w:rPr>
          <w:rFonts w:ascii="Arial" w:hAnsi="Arial" w:cs="Arial"/>
          <w:sz w:val="20"/>
          <w:szCs w:val="20"/>
        </w:rPr>
        <w:t xml:space="preserve">společností </w:t>
      </w:r>
      <w:proofErr w:type="spellStart"/>
      <w:r w:rsidR="00594288" w:rsidRPr="00133F3D">
        <w:rPr>
          <w:rFonts w:ascii="Arial" w:hAnsi="Arial" w:cs="Arial"/>
          <w:sz w:val="20"/>
          <w:szCs w:val="20"/>
        </w:rPr>
        <w:t>GEOtest</w:t>
      </w:r>
      <w:proofErr w:type="spellEnd"/>
      <w:r w:rsidR="00594288" w:rsidRPr="00133F3D">
        <w:rPr>
          <w:rFonts w:ascii="Arial" w:hAnsi="Arial" w:cs="Arial"/>
          <w:sz w:val="20"/>
          <w:szCs w:val="20"/>
        </w:rPr>
        <w:t>, a.s.</w:t>
      </w:r>
      <w:r w:rsidR="00D32BAB" w:rsidRPr="00133F3D">
        <w:rPr>
          <w:rFonts w:ascii="Arial" w:hAnsi="Arial" w:cs="Arial"/>
          <w:sz w:val="20"/>
          <w:szCs w:val="20"/>
        </w:rPr>
        <w:t>,</w:t>
      </w:r>
      <w:r w:rsidRPr="00133F3D">
        <w:rPr>
          <w:rFonts w:ascii="Arial" w:hAnsi="Arial" w:cs="Arial"/>
          <w:sz w:val="20"/>
          <w:szCs w:val="20"/>
        </w:rPr>
        <w:t xml:space="preserve"> IČO:</w:t>
      </w:r>
      <w:r w:rsidR="00594288" w:rsidRPr="00133F3D">
        <w:rPr>
          <w:rFonts w:ascii="Arial" w:hAnsi="Arial" w:cs="Arial"/>
          <w:sz w:val="20"/>
          <w:szCs w:val="20"/>
        </w:rPr>
        <w:t>46344942</w:t>
      </w:r>
      <w:r w:rsidRPr="00133F3D">
        <w:rPr>
          <w:rFonts w:ascii="Arial" w:hAnsi="Arial" w:cs="Arial"/>
          <w:sz w:val="20"/>
          <w:szCs w:val="20"/>
        </w:rPr>
        <w:t xml:space="preserve">, se sídlem: </w:t>
      </w:r>
      <w:r w:rsidR="00594288" w:rsidRPr="00133F3D">
        <w:rPr>
          <w:rFonts w:ascii="Arial" w:hAnsi="Arial" w:cs="Arial"/>
          <w:sz w:val="20"/>
          <w:szCs w:val="20"/>
        </w:rPr>
        <w:t>Šmahova 1244/112, 627 00 Brno</w:t>
      </w:r>
      <w:r w:rsidRPr="00133F3D">
        <w:rPr>
          <w:rFonts w:ascii="Arial" w:hAnsi="Arial" w:cs="Arial"/>
          <w:sz w:val="20"/>
          <w:szCs w:val="20"/>
        </w:rPr>
        <w:t xml:space="preserve">, </w:t>
      </w:r>
      <w:r w:rsidR="00D32BAB" w:rsidRPr="00133F3D">
        <w:rPr>
          <w:rFonts w:ascii="Arial" w:hAnsi="Arial" w:cs="Arial"/>
          <w:sz w:val="20"/>
          <w:szCs w:val="20"/>
        </w:rPr>
        <w:t xml:space="preserve">v roce </w:t>
      </w:r>
      <w:r w:rsidR="00594288" w:rsidRPr="00133F3D">
        <w:rPr>
          <w:rFonts w:ascii="Arial" w:hAnsi="Arial" w:cs="Arial"/>
          <w:sz w:val="20"/>
          <w:szCs w:val="20"/>
        </w:rPr>
        <w:t xml:space="preserve">2025 </w:t>
      </w:r>
      <w:r w:rsidR="000C0D6B" w:rsidRPr="00133F3D">
        <w:rPr>
          <w:rFonts w:ascii="Arial" w:hAnsi="Arial" w:cs="Arial"/>
          <w:sz w:val="20"/>
          <w:szCs w:val="20"/>
        </w:rPr>
        <w:t>(dále též jen „Projektová dokumentace“)</w:t>
      </w:r>
      <w:r w:rsidR="005465FE" w:rsidRPr="00133F3D">
        <w:rPr>
          <w:rFonts w:ascii="Arial" w:hAnsi="Arial" w:cs="Arial"/>
          <w:sz w:val="20"/>
          <w:szCs w:val="20"/>
        </w:rPr>
        <w:t>,</w:t>
      </w:r>
      <w:r w:rsidR="00F152E7" w:rsidRPr="00133F3D">
        <w:rPr>
          <w:rFonts w:ascii="Arial" w:hAnsi="Arial" w:cs="Arial"/>
          <w:sz w:val="20"/>
          <w:szCs w:val="20"/>
        </w:rPr>
        <w:t xml:space="preserve"> </w:t>
      </w:r>
      <w:r w:rsidR="00970607" w:rsidRPr="00133F3D">
        <w:rPr>
          <w:rFonts w:ascii="Arial" w:hAnsi="Arial" w:cs="Arial"/>
          <w:sz w:val="20"/>
          <w:szCs w:val="20"/>
        </w:rPr>
        <w:t xml:space="preserve">rozhodnutí </w:t>
      </w:r>
      <w:r w:rsidR="00594288" w:rsidRPr="00133F3D">
        <w:rPr>
          <w:rFonts w:ascii="Arial" w:hAnsi="Arial" w:cs="Arial"/>
          <w:sz w:val="20"/>
          <w:szCs w:val="20"/>
        </w:rPr>
        <w:t xml:space="preserve">povolením obnovy stavby </w:t>
      </w:r>
      <w:r w:rsidR="00FE65EA" w:rsidRPr="00133F3D">
        <w:rPr>
          <w:rFonts w:ascii="Arial" w:hAnsi="Arial" w:cs="Arial"/>
          <w:sz w:val="20"/>
          <w:szCs w:val="20"/>
        </w:rPr>
        <w:t>vydan</w:t>
      </w:r>
      <w:r w:rsidR="0094456D" w:rsidRPr="00133F3D">
        <w:rPr>
          <w:rFonts w:ascii="Arial" w:hAnsi="Arial" w:cs="Arial"/>
          <w:sz w:val="20"/>
          <w:szCs w:val="20"/>
        </w:rPr>
        <w:t>ý</w:t>
      </w:r>
      <w:r w:rsidR="00FE65EA" w:rsidRPr="00133F3D">
        <w:rPr>
          <w:rFonts w:ascii="Arial" w:hAnsi="Arial" w:cs="Arial"/>
          <w:sz w:val="20"/>
          <w:szCs w:val="20"/>
        </w:rPr>
        <w:t xml:space="preserve">m </w:t>
      </w:r>
      <w:r w:rsidR="00594288" w:rsidRPr="00133F3D">
        <w:rPr>
          <w:rFonts w:ascii="Arial" w:hAnsi="Arial" w:cs="Arial"/>
          <w:sz w:val="20"/>
          <w:szCs w:val="20"/>
        </w:rPr>
        <w:t>Městským úřadem Valašské Meziříčí</w:t>
      </w:r>
      <w:r w:rsidR="00FE65EA" w:rsidRPr="00133F3D">
        <w:rPr>
          <w:rFonts w:ascii="Arial" w:hAnsi="Arial" w:cs="Arial"/>
          <w:sz w:val="20"/>
          <w:szCs w:val="20"/>
        </w:rPr>
        <w:t xml:space="preserve">, </w:t>
      </w:r>
      <w:r w:rsidR="00DB6630" w:rsidRPr="00133F3D">
        <w:rPr>
          <w:rFonts w:ascii="Arial" w:hAnsi="Arial" w:cs="Arial"/>
          <w:sz w:val="20"/>
          <w:szCs w:val="20"/>
        </w:rPr>
        <w:t>pod</w:t>
      </w:r>
      <w:r w:rsidR="00FE65EA" w:rsidRPr="00133F3D">
        <w:rPr>
          <w:rFonts w:ascii="Arial" w:hAnsi="Arial" w:cs="Arial"/>
          <w:sz w:val="20"/>
          <w:szCs w:val="20"/>
        </w:rPr>
        <w:t xml:space="preserve"> č.</w:t>
      </w:r>
      <w:r w:rsidR="00767CE3" w:rsidRPr="00133F3D">
        <w:rPr>
          <w:rFonts w:ascii="Arial" w:hAnsi="Arial" w:cs="Arial"/>
          <w:sz w:val="20"/>
          <w:szCs w:val="20"/>
        </w:rPr>
        <w:t xml:space="preserve"> </w:t>
      </w:r>
      <w:r w:rsidR="00FE65EA" w:rsidRPr="00133F3D">
        <w:rPr>
          <w:rFonts w:ascii="Arial" w:hAnsi="Arial" w:cs="Arial"/>
          <w:sz w:val="20"/>
          <w:szCs w:val="20"/>
        </w:rPr>
        <w:t xml:space="preserve">j. </w:t>
      </w:r>
      <w:proofErr w:type="spellStart"/>
      <w:r w:rsidR="00970607" w:rsidRPr="00133F3D">
        <w:rPr>
          <w:rFonts w:ascii="Arial" w:hAnsi="Arial" w:cs="Arial"/>
          <w:sz w:val="20"/>
          <w:szCs w:val="20"/>
        </w:rPr>
        <w:t>MeUVM</w:t>
      </w:r>
      <w:proofErr w:type="spellEnd"/>
      <w:r w:rsidR="00970607" w:rsidRPr="00133F3D">
        <w:rPr>
          <w:rFonts w:ascii="Arial" w:hAnsi="Arial" w:cs="Arial"/>
          <w:sz w:val="20"/>
          <w:szCs w:val="20"/>
        </w:rPr>
        <w:t xml:space="preserve"> 035240/2025</w:t>
      </w:r>
      <w:r w:rsidR="000C0D6B" w:rsidRPr="00133F3D">
        <w:rPr>
          <w:rFonts w:ascii="Arial" w:hAnsi="Arial" w:cs="Arial"/>
          <w:sz w:val="20"/>
          <w:szCs w:val="20"/>
        </w:rPr>
        <w:t xml:space="preserve"> (dále též jen „</w:t>
      </w:r>
      <w:r w:rsidR="00A0671E" w:rsidRPr="00133F3D">
        <w:rPr>
          <w:rFonts w:ascii="Arial" w:hAnsi="Arial" w:cs="Arial"/>
          <w:sz w:val="20"/>
          <w:szCs w:val="20"/>
        </w:rPr>
        <w:t>P</w:t>
      </w:r>
      <w:r w:rsidR="000C0D6B" w:rsidRPr="00133F3D">
        <w:rPr>
          <w:rFonts w:ascii="Arial" w:hAnsi="Arial" w:cs="Arial"/>
          <w:sz w:val="20"/>
          <w:szCs w:val="20"/>
        </w:rPr>
        <w:t>ovolení</w:t>
      </w:r>
      <w:r w:rsidR="00A0671E" w:rsidRPr="00133F3D">
        <w:rPr>
          <w:rFonts w:ascii="Arial" w:hAnsi="Arial" w:cs="Arial"/>
          <w:sz w:val="20"/>
          <w:szCs w:val="20"/>
        </w:rPr>
        <w:t xml:space="preserve"> záměru</w:t>
      </w:r>
      <w:r w:rsidR="000C0D6B" w:rsidRPr="00133F3D">
        <w:rPr>
          <w:rFonts w:ascii="Arial" w:hAnsi="Arial" w:cs="Arial"/>
          <w:sz w:val="20"/>
          <w:szCs w:val="20"/>
        </w:rPr>
        <w:t>“)</w:t>
      </w:r>
      <w:r w:rsidR="00DE79B5" w:rsidRPr="00133F3D">
        <w:rPr>
          <w:rFonts w:ascii="Arial" w:hAnsi="Arial" w:cs="Arial"/>
          <w:sz w:val="20"/>
          <w:szCs w:val="20"/>
        </w:rPr>
        <w:t xml:space="preserve">, </w:t>
      </w:r>
      <w:r w:rsidR="005465FE" w:rsidRPr="00133F3D">
        <w:rPr>
          <w:rFonts w:ascii="Arial" w:hAnsi="Arial" w:cs="Arial"/>
          <w:sz w:val="20"/>
          <w:szCs w:val="20"/>
        </w:rPr>
        <w:t xml:space="preserve">a dále </w:t>
      </w:r>
      <w:r w:rsidR="002E7BC9" w:rsidRPr="00365603">
        <w:rPr>
          <w:rFonts w:ascii="Arial" w:hAnsi="Arial" w:cs="Arial"/>
          <w:sz w:val="20"/>
          <w:szCs w:val="20"/>
        </w:rPr>
        <w:t>Souhlasem k zásahu do významného krajinného prvku a Rozhodnutí</w:t>
      </w:r>
      <w:r w:rsidR="002E7BC9">
        <w:rPr>
          <w:rFonts w:ascii="Arial" w:hAnsi="Arial" w:cs="Arial"/>
          <w:sz w:val="20"/>
          <w:szCs w:val="20"/>
        </w:rPr>
        <w:t xml:space="preserve">m </w:t>
      </w:r>
      <w:r w:rsidR="002E7BC9" w:rsidRPr="00365603">
        <w:rPr>
          <w:rFonts w:ascii="Arial" w:hAnsi="Arial" w:cs="Arial"/>
          <w:sz w:val="20"/>
          <w:szCs w:val="20"/>
        </w:rPr>
        <w:t xml:space="preserve">o udělení výjimky z ochranných podmínek zvláště chráněných druhů živočichů </w:t>
      </w:r>
      <w:r w:rsidR="009C1F27" w:rsidRPr="00133F3D">
        <w:rPr>
          <w:rFonts w:ascii="Arial" w:hAnsi="Arial" w:cs="Arial"/>
          <w:sz w:val="20"/>
          <w:szCs w:val="20"/>
        </w:rPr>
        <w:t>(</w:t>
      </w:r>
      <w:r w:rsidR="000C0D6B" w:rsidRPr="00133F3D">
        <w:rPr>
          <w:rFonts w:ascii="Arial" w:hAnsi="Arial" w:cs="Arial"/>
          <w:sz w:val="20"/>
          <w:szCs w:val="20"/>
        </w:rPr>
        <w:t xml:space="preserve">společně </w:t>
      </w:r>
      <w:r w:rsidR="009C1F27" w:rsidRPr="00133F3D">
        <w:rPr>
          <w:rFonts w:ascii="Arial" w:hAnsi="Arial" w:cs="Arial"/>
          <w:sz w:val="20"/>
          <w:szCs w:val="20"/>
        </w:rPr>
        <w:t>dále též jen „Podklady“)</w:t>
      </w:r>
      <w:r w:rsidR="008610FB" w:rsidRPr="00133F3D">
        <w:rPr>
          <w:rFonts w:ascii="Arial" w:hAnsi="Arial" w:cs="Arial"/>
          <w:sz w:val="20"/>
          <w:szCs w:val="20"/>
        </w:rPr>
        <w:t>.</w:t>
      </w:r>
    </w:p>
    <w:p w14:paraId="51593128" w14:textId="77777777" w:rsidR="00253AFB" w:rsidRPr="00133F3D"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133F3D">
        <w:rPr>
          <w:rFonts w:ascii="Arial" w:hAnsi="Arial" w:cs="Arial"/>
          <w:sz w:val="20"/>
          <w:szCs w:val="20"/>
        </w:rPr>
        <w:t xml:space="preserve">Objednatel před uzavřením </w:t>
      </w:r>
      <w:r w:rsidR="00DE79B5" w:rsidRPr="00133F3D">
        <w:rPr>
          <w:rFonts w:ascii="Arial" w:hAnsi="Arial" w:cs="Arial"/>
          <w:sz w:val="20"/>
          <w:szCs w:val="20"/>
        </w:rPr>
        <w:t>S</w:t>
      </w:r>
      <w:r w:rsidRPr="00133F3D">
        <w:rPr>
          <w:rFonts w:ascii="Arial" w:hAnsi="Arial" w:cs="Arial"/>
          <w:sz w:val="20"/>
          <w:szCs w:val="20"/>
        </w:rPr>
        <w:t xml:space="preserve">mlouvy předal </w:t>
      </w:r>
      <w:r w:rsidR="00DE79B5" w:rsidRPr="00133F3D">
        <w:rPr>
          <w:rFonts w:ascii="Arial" w:hAnsi="Arial" w:cs="Arial"/>
          <w:sz w:val="20"/>
          <w:szCs w:val="20"/>
        </w:rPr>
        <w:t>Z</w:t>
      </w:r>
      <w:r w:rsidRPr="00133F3D">
        <w:rPr>
          <w:rFonts w:ascii="Arial" w:hAnsi="Arial" w:cs="Arial"/>
          <w:sz w:val="20"/>
          <w:szCs w:val="20"/>
        </w:rPr>
        <w:t xml:space="preserve">hotoviteli </w:t>
      </w:r>
      <w:r w:rsidR="009C1F27" w:rsidRPr="00133F3D">
        <w:rPr>
          <w:rFonts w:ascii="Arial" w:hAnsi="Arial" w:cs="Arial"/>
          <w:sz w:val="20"/>
          <w:szCs w:val="20"/>
        </w:rPr>
        <w:t>Podklady</w:t>
      </w:r>
      <w:r w:rsidRPr="00133F3D">
        <w:rPr>
          <w:rFonts w:ascii="Arial" w:hAnsi="Arial" w:cs="Arial"/>
          <w:sz w:val="20"/>
          <w:szCs w:val="20"/>
        </w:rPr>
        <w:t xml:space="preserve">. Zhotovitel prohlašuje, že </w:t>
      </w:r>
      <w:r w:rsidR="009C1F27" w:rsidRPr="00133F3D">
        <w:rPr>
          <w:rFonts w:ascii="Arial" w:hAnsi="Arial" w:cs="Arial"/>
          <w:sz w:val="20"/>
          <w:szCs w:val="20"/>
        </w:rPr>
        <w:t>Podklady</w:t>
      </w:r>
      <w:r w:rsidRPr="00133F3D">
        <w:rPr>
          <w:rFonts w:ascii="Arial" w:hAnsi="Arial" w:cs="Arial"/>
          <w:sz w:val="20"/>
          <w:szCs w:val="20"/>
        </w:rPr>
        <w:t xml:space="preserve"> převzal, vyčerpávajícím způsobem se s</w:t>
      </w:r>
      <w:r w:rsidR="00BD6115" w:rsidRPr="00133F3D">
        <w:rPr>
          <w:rFonts w:ascii="Arial" w:hAnsi="Arial" w:cs="Arial"/>
          <w:sz w:val="20"/>
          <w:szCs w:val="20"/>
        </w:rPr>
        <w:t> </w:t>
      </w:r>
      <w:r w:rsidRPr="00133F3D">
        <w:rPr>
          <w:rFonts w:ascii="Arial" w:hAnsi="Arial" w:cs="Arial"/>
          <w:sz w:val="20"/>
          <w:szCs w:val="20"/>
        </w:rPr>
        <w:t>nimi seznámil a zavazuje se je plně dodržovat.</w:t>
      </w:r>
      <w:r w:rsidR="00BD6115" w:rsidRPr="00133F3D">
        <w:rPr>
          <w:rFonts w:ascii="Arial" w:hAnsi="Arial" w:cs="Arial"/>
          <w:sz w:val="20"/>
          <w:szCs w:val="20"/>
        </w:rPr>
        <w:t xml:space="preserve"> </w:t>
      </w:r>
      <w:r w:rsidR="00767CE3" w:rsidRPr="00133F3D">
        <w:rPr>
          <w:rFonts w:ascii="Arial" w:hAnsi="Arial" w:cs="Arial"/>
          <w:sz w:val="20"/>
          <w:szCs w:val="20"/>
        </w:rPr>
        <w:t>V případě</w:t>
      </w:r>
      <w:r w:rsidR="00767CE3" w:rsidRPr="00F27236">
        <w:rPr>
          <w:rFonts w:ascii="Arial" w:hAnsi="Arial" w:cs="Arial"/>
          <w:sz w:val="20"/>
          <w:szCs w:val="20"/>
        </w:rPr>
        <w:t xml:space="preserve">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301AB1"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w:t>
      </w:r>
      <w:r w:rsidRPr="00301AB1">
        <w:rPr>
          <w:rFonts w:ascii="Arial" w:hAnsi="Arial" w:cs="Arial"/>
          <w:sz w:val="20"/>
          <w:szCs w:val="20"/>
        </w:rPr>
        <w:t xml:space="preserve">je </w:t>
      </w:r>
      <w:r w:rsidR="00DB11C2" w:rsidRPr="00301AB1">
        <w:rPr>
          <w:rFonts w:ascii="Arial" w:hAnsi="Arial" w:cs="Arial"/>
          <w:sz w:val="20"/>
          <w:szCs w:val="20"/>
        </w:rPr>
        <w:t xml:space="preserve">povinen provést </w:t>
      </w:r>
      <w:r w:rsidR="00273144" w:rsidRPr="00301AB1">
        <w:rPr>
          <w:rFonts w:ascii="Arial" w:hAnsi="Arial" w:cs="Arial"/>
          <w:sz w:val="20"/>
          <w:szCs w:val="20"/>
        </w:rPr>
        <w:t>D</w:t>
      </w:r>
      <w:r w:rsidR="00DB11C2" w:rsidRPr="00301AB1">
        <w:rPr>
          <w:rFonts w:ascii="Arial" w:hAnsi="Arial" w:cs="Arial"/>
          <w:sz w:val="20"/>
          <w:szCs w:val="20"/>
        </w:rPr>
        <w:t xml:space="preserve">ílo s potřebnou péčí a za obstarání všeho, co je k provedení </w:t>
      </w:r>
      <w:r w:rsidR="00273144" w:rsidRPr="00301AB1">
        <w:rPr>
          <w:rFonts w:ascii="Arial" w:hAnsi="Arial" w:cs="Arial"/>
          <w:sz w:val="20"/>
          <w:szCs w:val="20"/>
        </w:rPr>
        <w:t>D</w:t>
      </w:r>
      <w:r w:rsidR="00DB11C2" w:rsidRPr="00301AB1">
        <w:rPr>
          <w:rFonts w:ascii="Arial" w:hAnsi="Arial" w:cs="Arial"/>
          <w:sz w:val="20"/>
          <w:szCs w:val="20"/>
        </w:rPr>
        <w:t>íla potřeba</w:t>
      </w:r>
      <w:r w:rsidR="00A96954" w:rsidRPr="00301AB1">
        <w:rPr>
          <w:rFonts w:ascii="Arial" w:hAnsi="Arial" w:cs="Arial"/>
          <w:sz w:val="20"/>
          <w:szCs w:val="20"/>
        </w:rPr>
        <w:t>.</w:t>
      </w:r>
      <w:r w:rsidR="00273144" w:rsidRPr="00301AB1">
        <w:rPr>
          <w:rFonts w:ascii="Arial" w:hAnsi="Arial" w:cs="Arial"/>
          <w:sz w:val="20"/>
          <w:szCs w:val="20"/>
        </w:rPr>
        <w:t xml:space="preserve"> </w:t>
      </w:r>
      <w:r w:rsidR="00500E38" w:rsidRPr="00301AB1">
        <w:rPr>
          <w:rFonts w:ascii="Arial" w:hAnsi="Arial" w:cs="Arial"/>
          <w:sz w:val="20"/>
          <w:szCs w:val="20"/>
        </w:rPr>
        <w:t>S</w:t>
      </w:r>
      <w:r w:rsidR="00563CFF" w:rsidRPr="00301AB1">
        <w:rPr>
          <w:rFonts w:ascii="Arial" w:hAnsi="Arial" w:cs="Arial"/>
          <w:sz w:val="20"/>
          <w:szCs w:val="20"/>
        </w:rPr>
        <w:t xml:space="preserve">oučástí </w:t>
      </w:r>
      <w:r w:rsidR="000611E6" w:rsidRPr="00301AB1">
        <w:rPr>
          <w:rFonts w:ascii="Arial" w:hAnsi="Arial" w:cs="Arial"/>
          <w:sz w:val="20"/>
          <w:szCs w:val="20"/>
        </w:rPr>
        <w:t xml:space="preserve">závazku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355DD3CD" w14:textId="7705EE5D"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6B934273" w14:textId="37ACB11F"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0B6933F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5DFB1359"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042212E7"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A3BEC0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57DAA6A7"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A3833E6" w14:textId="2B873F1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2"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2"/>
    <w:p w14:paraId="592BF99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0712D33A"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783E027A"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7DF1FB2D" w14:textId="77777777" w:rsidR="006C1598"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potřebných záborů ploch,</w:t>
      </w:r>
    </w:p>
    <w:p w14:paraId="473DED1A"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DBDCCB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65648E1B"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5DAC9007"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401E3DC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335B278" w14:textId="3ECFDCB4"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E0C8CF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6289DF96"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5E536C3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416C257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CE6471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942C0D5"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Pr="00301AB1">
        <w:rPr>
          <w:rFonts w:ascii="Arial" w:hAnsi="Arial" w:cs="Arial"/>
          <w:sz w:val="20"/>
          <w:szCs w:val="20"/>
          <w:lang w:eastAsia="ar-SA"/>
        </w:rPr>
        <w:t xml:space="preserve">íla, zajištění jeho dočasného nebo trvalého uložení, resp. </w:t>
      </w:r>
      <w:r w:rsidR="00CF70E0" w:rsidRPr="00301AB1">
        <w:rPr>
          <w:rFonts w:ascii="Arial" w:hAnsi="Arial" w:cs="Arial"/>
          <w:sz w:val="20"/>
          <w:szCs w:val="20"/>
          <w:lang w:eastAsia="ar-SA"/>
        </w:rPr>
        <w:t>předání</w:t>
      </w:r>
      <w:r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70EC861D" w14:textId="26B405F3"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354F8A4" w14:textId="16DB2624"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68A08573"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jednotné digitální technické mapy u krajského úřadu</w:t>
      </w:r>
      <w:r w:rsidRPr="00301AB1">
        <w:rPr>
          <w:rFonts w:ascii="Arial" w:hAnsi="Arial" w:cs="Arial"/>
          <w:sz w:val="20"/>
          <w:szCs w:val="20"/>
          <w:lang w:eastAsia="ar-SA"/>
        </w:rPr>
        <w:t>;</w:t>
      </w:r>
    </w:p>
    <w:p w14:paraId="67A117D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77C3B4F" w14:textId="456104E3"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52150BB" w14:textId="50CDFD08"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D8F1740" w14:textId="3EB9D082"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57D2C20" w14:textId="7980D27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E17AEEB" w14:textId="4B24387B"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3E12B937" w14:textId="1081C895"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6F585AE7" w14:textId="386604E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2BA44DA6" w14:textId="6BF22FA3"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5943AB5A" w14:textId="03C5183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14117191" w14:textId="24A70D9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C3E814B" w14:textId="04928722"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04F30E3D" w14:textId="4797A47E"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F8E5F80" w14:textId="53FEAF79"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519F8A1E" w14:textId="2BB5121D"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B75F487" w14:textId="6CA98DB8"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0D1F0CE8" w14:textId="77777777" w:rsidR="002D63AC" w:rsidRDefault="002D63AC" w:rsidP="00D03C79">
      <w:pPr>
        <w:suppressAutoHyphens/>
        <w:ind w:left="360"/>
        <w:jc w:val="both"/>
        <w:rPr>
          <w:rFonts w:ascii="Arial" w:hAnsi="Arial" w:cs="Arial"/>
          <w:sz w:val="20"/>
          <w:szCs w:val="20"/>
        </w:rPr>
      </w:pPr>
    </w:p>
    <w:tbl>
      <w:tblPr>
        <w:tblStyle w:val="Mkatabulky"/>
        <w:tblW w:w="8646" w:type="dxa"/>
        <w:tblInd w:w="279" w:type="dxa"/>
        <w:tblLook w:val="04A0" w:firstRow="1" w:lastRow="0" w:firstColumn="1" w:lastColumn="0" w:noHBand="0" w:noVBand="1"/>
      </w:tblPr>
      <w:tblGrid>
        <w:gridCol w:w="4524"/>
        <w:gridCol w:w="4122"/>
      </w:tblGrid>
      <w:tr w:rsidR="002D63AC" w:rsidRPr="002D63AC" w14:paraId="7709B64E" w14:textId="77777777" w:rsidTr="005027D6">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677B0F60" w14:textId="6741C9D8"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5027D6">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07E70517" w14:textId="6B42CDA5"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5027D6">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D7FA597" w14:textId="0C012CAA"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7A2B76" w:rsidRPr="007A2B76">
              <w:rPr>
                <w:rFonts w:ascii="Arial" w:hAnsi="Arial" w:cs="Arial"/>
                <w:sz w:val="20"/>
                <w:szCs w:val="20"/>
                <w:lang w:eastAsia="ar-SA"/>
              </w:rPr>
              <w:t>15. 4. 202</w:t>
            </w:r>
            <w:r w:rsidR="005027D6">
              <w:rPr>
                <w:rFonts w:ascii="Arial" w:hAnsi="Arial" w:cs="Arial"/>
                <w:sz w:val="20"/>
                <w:szCs w:val="20"/>
                <w:lang w:eastAsia="ar-SA"/>
              </w:rPr>
              <w:t>6</w:t>
            </w:r>
          </w:p>
        </w:tc>
      </w:tr>
    </w:tbl>
    <w:p w14:paraId="39EBE1B1" w14:textId="241B20C5" w:rsidR="008B72B1" w:rsidRPr="005027D6" w:rsidRDefault="005027D6" w:rsidP="00D03C79">
      <w:pPr>
        <w:ind w:left="4962" w:hanging="4605"/>
        <w:jc w:val="both"/>
        <w:rPr>
          <w:rFonts w:ascii="Arial" w:hAnsi="Arial" w:cs="Arial"/>
          <w:sz w:val="20"/>
          <w:szCs w:val="20"/>
        </w:rPr>
      </w:pPr>
      <w:r w:rsidRPr="005027D6">
        <w:rPr>
          <w:rFonts w:ascii="Arial" w:hAnsi="Arial" w:cs="Arial"/>
          <w:sz w:val="20"/>
          <w:szCs w:val="20"/>
        </w:rPr>
        <w:t>Práce v korytě toku budou ukončeny do 31. 3. 202</w:t>
      </w:r>
      <w:r>
        <w:rPr>
          <w:rFonts w:ascii="Arial" w:hAnsi="Arial" w:cs="Arial"/>
          <w:sz w:val="20"/>
          <w:szCs w:val="20"/>
        </w:rPr>
        <w:t>6</w:t>
      </w:r>
      <w:r w:rsidRPr="005027D6">
        <w:rPr>
          <w:rFonts w:ascii="Arial" w:hAnsi="Arial" w:cs="Arial"/>
          <w:sz w:val="20"/>
          <w:szCs w:val="20"/>
        </w:rPr>
        <w:t>.</w:t>
      </w:r>
    </w:p>
    <w:p w14:paraId="3FDAE713" w14:textId="77777777" w:rsidR="005027D6" w:rsidRPr="00F27236" w:rsidRDefault="005027D6"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39CA34F1"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752680" w:rsidRPr="00EC2467">
        <w:rPr>
          <w:rFonts w:ascii="Arial" w:hAnsi="Arial" w:cs="Arial"/>
          <w:sz w:val="20"/>
          <w:szCs w:val="20"/>
        </w:rPr>
        <w:t xml:space="preserve">jez </w:t>
      </w:r>
      <w:proofErr w:type="spellStart"/>
      <w:r w:rsidR="00752680" w:rsidRPr="00EC2467">
        <w:rPr>
          <w:rFonts w:ascii="Arial" w:hAnsi="Arial" w:cs="Arial"/>
          <w:sz w:val="20"/>
          <w:szCs w:val="20"/>
        </w:rPr>
        <w:t>Juřinka</w:t>
      </w:r>
      <w:proofErr w:type="spellEnd"/>
      <w:r w:rsidR="00752680" w:rsidRPr="00EC2467">
        <w:rPr>
          <w:rFonts w:ascii="Arial" w:hAnsi="Arial" w:cs="Arial"/>
          <w:sz w:val="20"/>
          <w:szCs w:val="20"/>
        </w:rPr>
        <w:t xml:space="preserve"> II</w:t>
      </w:r>
      <w:r w:rsidR="00EC2467" w:rsidRPr="00EC2467">
        <w:rPr>
          <w:rFonts w:ascii="Arial" w:hAnsi="Arial" w:cs="Arial"/>
          <w:sz w:val="20"/>
          <w:szCs w:val="20"/>
        </w:rPr>
        <w:t>. a LB Bečvy</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EC2467" w:rsidRPr="00EC2467">
        <w:rPr>
          <w:rFonts w:ascii="Arial" w:hAnsi="Arial" w:cs="Arial"/>
          <w:sz w:val="20"/>
          <w:szCs w:val="20"/>
        </w:rPr>
        <w:t>Krásno nad Bečvou a Lhotka nad Bečvou</w:t>
      </w:r>
      <w:r w:rsidR="00EC2467">
        <w:rPr>
          <w:rFonts w:ascii="Arial" w:hAnsi="Arial" w:cs="Arial"/>
          <w:sz w:val="20"/>
          <w:szCs w:val="20"/>
        </w:rPr>
        <w:t xml:space="preserve">, </w:t>
      </w:r>
      <w:proofErr w:type="spellStart"/>
      <w:r w:rsidR="00EC2467">
        <w:rPr>
          <w:rFonts w:ascii="Arial" w:hAnsi="Arial" w:cs="Arial"/>
          <w:sz w:val="20"/>
          <w:szCs w:val="20"/>
        </w:rPr>
        <w:t>Zlínksý</w:t>
      </w:r>
      <w:proofErr w:type="spellEnd"/>
      <w:r w:rsidR="00EC2467">
        <w:rPr>
          <w:rFonts w:ascii="Arial" w:hAnsi="Arial" w:cs="Arial"/>
          <w:sz w:val="20"/>
          <w:szCs w:val="20"/>
        </w:rPr>
        <w:t xml:space="preserve"> kraj.</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7211852B" w14:textId="77777777" w:rsidTr="00FF4875">
        <w:tc>
          <w:tcPr>
            <w:tcW w:w="4524"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550A2E3F"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606A809D" w14:textId="77777777" w:rsidR="00EC2467" w:rsidRDefault="00EC2467" w:rsidP="00EC2467">
      <w:pPr>
        <w:pStyle w:val="Odstavecseseznamem"/>
        <w:rPr>
          <w:rFonts w:ascii="Arial" w:hAnsi="Arial" w:cs="Arial"/>
          <w:sz w:val="20"/>
          <w:szCs w:val="20"/>
        </w:rPr>
      </w:pPr>
    </w:p>
    <w:p w14:paraId="70D4F7CD"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3533727A" w14:textId="77777777" w:rsidR="00EC2467" w:rsidRPr="0085224C" w:rsidRDefault="00EC2467" w:rsidP="00EC2467">
      <w:pPr>
        <w:suppressAutoHyphens/>
        <w:jc w:val="both"/>
        <w:rPr>
          <w:rFonts w:ascii="Arial" w:hAnsi="Arial" w:cs="Arial"/>
          <w:sz w:val="20"/>
          <w:szCs w:val="20"/>
        </w:rPr>
      </w:pPr>
    </w:p>
    <w:p w14:paraId="029D1CE7" w14:textId="6D74FF21"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6033A77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72F99B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389F32E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E262D3F" w14:textId="77777777" w:rsidR="00133F3D" w:rsidRDefault="00133F3D" w:rsidP="00133F3D">
      <w:pPr>
        <w:pStyle w:val="Odstavecseseznamem"/>
        <w:rPr>
          <w:rFonts w:ascii="Arial" w:hAnsi="Arial" w:cs="Arial"/>
          <w:sz w:val="20"/>
          <w:szCs w:val="20"/>
        </w:rPr>
      </w:pPr>
    </w:p>
    <w:p w14:paraId="4E708835" w14:textId="00596023" w:rsidR="00133F3D" w:rsidRPr="00133F3D" w:rsidRDefault="00133F3D" w:rsidP="00133F3D">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1A62F9E4" w14:textId="77777777" w:rsidR="003B29AA" w:rsidRPr="003B29AA" w:rsidRDefault="003B29AA" w:rsidP="00D03C79">
      <w:pPr>
        <w:jc w:val="both"/>
        <w:rPr>
          <w:rFonts w:ascii="Arial" w:hAnsi="Arial" w:cs="Arial"/>
          <w:sz w:val="20"/>
          <w:szCs w:val="20"/>
        </w:rPr>
      </w:pPr>
    </w:p>
    <w:p w14:paraId="042CE004" w14:textId="03D4C0DE" w:rsidR="003B29AA" w:rsidRP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čtyřech stejnopisech, z nichž tři 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lastRenderedPageBreak/>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224674A9"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DC0D0E">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1460241F"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7567940" w14:textId="77777777" w:rsidR="00DC0D0E" w:rsidRPr="00DC0D0E" w:rsidRDefault="00DC0D0E" w:rsidP="00DC0D0E">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C91D3D">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9AD88" w14:textId="77777777" w:rsidR="003853A4" w:rsidRDefault="003853A4">
      <w:r>
        <w:separator/>
      </w:r>
    </w:p>
  </w:endnote>
  <w:endnote w:type="continuationSeparator" w:id="0">
    <w:p w14:paraId="443DA693" w14:textId="77777777" w:rsidR="003853A4" w:rsidRDefault="0038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577DF8" w:rsidRPr="009A35B1" w:rsidRDefault="00577DF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577DF8" w:rsidRPr="00BF6E4C" w:rsidRDefault="00577DF8">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577DF8" w:rsidRPr="009A35B1" w:rsidRDefault="00577DF8"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577DF8" w:rsidRPr="00BF6E4C" w:rsidRDefault="00577DF8">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899D" w14:textId="77777777" w:rsidR="003853A4" w:rsidRDefault="003853A4">
      <w:r>
        <w:separator/>
      </w:r>
    </w:p>
  </w:footnote>
  <w:footnote w:type="continuationSeparator" w:id="0">
    <w:p w14:paraId="329F6E60" w14:textId="77777777" w:rsidR="003853A4" w:rsidRDefault="00385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3F3D"/>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E7BC9"/>
    <w:rsid w:val="002F0C7D"/>
    <w:rsid w:val="002F3238"/>
    <w:rsid w:val="002F3793"/>
    <w:rsid w:val="002F3FA1"/>
    <w:rsid w:val="002F4044"/>
    <w:rsid w:val="002F4C4F"/>
    <w:rsid w:val="002F63A1"/>
    <w:rsid w:val="002F6BDC"/>
    <w:rsid w:val="002F7E42"/>
    <w:rsid w:val="00301AB1"/>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27D6"/>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57FF"/>
    <w:rsid w:val="009667E9"/>
    <w:rsid w:val="00966A59"/>
    <w:rsid w:val="00966EB5"/>
    <w:rsid w:val="0097004D"/>
    <w:rsid w:val="00970607"/>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CE7"/>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0D0E"/>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2467"/>
    <w:rsid w:val="00EC334E"/>
    <w:rsid w:val="00EC46FC"/>
    <w:rsid w:val="00ED3BE7"/>
    <w:rsid w:val="00EE13C5"/>
    <w:rsid w:val="00EE1BAE"/>
    <w:rsid w:val="00EE28F8"/>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ikov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2771-1E02-46C6-A617-24528C1F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8327</Words>
  <Characters>53009</Characters>
  <Application>Microsoft Office Word</Application>
  <DocSecurity>0</DocSecurity>
  <Lines>441</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Prokeš Michal</cp:lastModifiedBy>
  <cp:revision>12</cp:revision>
  <cp:lastPrinted>2022-06-24T12:30:00Z</cp:lastPrinted>
  <dcterms:created xsi:type="dcterms:W3CDTF">2025-07-18T07:45:00Z</dcterms:created>
  <dcterms:modified xsi:type="dcterms:W3CDTF">2025-07-24T06:46:00Z</dcterms:modified>
</cp:coreProperties>
</file>