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1F09"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06AD3027" w:rsidR="001E45D1" w:rsidRPr="000D2CE2" w:rsidRDefault="00034BCB">
            <w:pPr>
              <w:rPr>
                <w:rFonts w:ascii="Arial" w:hAnsi="Arial" w:cs="Arial"/>
              </w:rPr>
            </w:pPr>
            <w:r w:rsidRPr="00034BCB">
              <w:rPr>
                <w:rFonts w:ascii="Arial" w:hAnsi="Arial" w:cs="Arial"/>
              </w:rPr>
              <w:t>Vyhřívaný čistič helia</w:t>
            </w:r>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6798A212" w14:textId="6BAD6507"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034BCB">
        <w:rPr>
          <w:rFonts w:ascii="Arial" w:hAnsi="Arial" w:cs="Arial"/>
          <w:b/>
        </w:rPr>
        <w:t>8</w:t>
      </w:r>
      <w:r w:rsidR="004518D4">
        <w:rPr>
          <w:rFonts w:ascii="Arial" w:hAnsi="Arial" w:cs="Arial"/>
          <w:b/>
        </w:rPr>
        <w:t xml:space="preserve"> zakázky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49FD7CEF"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034BCB" w:rsidRPr="00034BCB">
        <w:rPr>
          <w:rFonts w:ascii="Arial" w:eastAsia="Times New Roman" w:hAnsi="Arial" w:cs="Arial"/>
          <w:b/>
        </w:rPr>
        <w:t>Vyhřívaný čistič helia</w:t>
      </w:r>
      <w:r w:rsidRPr="00634174">
        <w:rPr>
          <w:rFonts w:ascii="Arial" w:eastAsia="Times New Roman" w:hAnsi="Arial" w:cs="Arial"/>
          <w:b/>
        </w:rPr>
        <w:t>”</w:t>
      </w:r>
    </w:p>
    <w:p w14:paraId="552C1B46" w14:textId="16D93156" w:rsidR="008F0B96" w:rsidRDefault="008F0B96" w:rsidP="00F253FB">
      <w:pPr>
        <w:spacing w:line="240" w:lineRule="auto"/>
        <w:jc w:val="both"/>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034BCB">
        <w:rPr>
          <w:rFonts w:ascii="Arial" w:eastAsia="Times New Roman" w:hAnsi="Arial" w:cs="Arial"/>
          <w:b/>
        </w:rPr>
        <w:t>1</w:t>
      </w:r>
      <w:r w:rsidR="00D46DDB" w:rsidRPr="0030237F">
        <w:rPr>
          <w:rFonts w:ascii="Arial" w:eastAsia="Times New Roman" w:hAnsi="Arial" w:cs="Arial"/>
          <w:b/>
        </w:rPr>
        <w:t xml:space="preserve"> ks zboží (</w:t>
      </w:r>
      <w:r w:rsidR="00034BCB">
        <w:rPr>
          <w:rFonts w:ascii="Arial" w:eastAsia="Times New Roman" w:hAnsi="Arial" w:cs="Arial"/>
          <w:b/>
        </w:rPr>
        <w:t>v</w:t>
      </w:r>
      <w:r w:rsidR="00034BCB" w:rsidRPr="00034BCB">
        <w:rPr>
          <w:rFonts w:ascii="Arial" w:eastAsia="Times New Roman" w:hAnsi="Arial" w:cs="Arial"/>
          <w:b/>
        </w:rPr>
        <w:t>yhřívaný čistič helia</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5FF05D62" w14:textId="4DE93955" w:rsidR="00034BCB" w:rsidRDefault="00034BCB" w:rsidP="00F253FB">
      <w:pPr>
        <w:spacing w:line="240" w:lineRule="auto"/>
        <w:jc w:val="both"/>
        <w:rPr>
          <w:rFonts w:ascii="Arial" w:eastAsia="Times New Roman" w:hAnsi="Arial" w:cs="Arial"/>
          <w:b/>
        </w:rPr>
      </w:pPr>
      <w:r>
        <w:rPr>
          <w:rFonts w:ascii="Arial" w:eastAsia="Times New Roman" w:hAnsi="Arial" w:cs="Arial"/>
          <w:b/>
        </w:rPr>
        <w:t xml:space="preserve">Popis: </w:t>
      </w:r>
      <w:r w:rsidRPr="00034BCB">
        <w:rPr>
          <w:rFonts w:ascii="Arial" w:eastAsia="Times New Roman" w:hAnsi="Arial" w:cs="Arial"/>
          <w:b/>
        </w:rPr>
        <w:t xml:space="preserve">Zařízení pro čištění helia nižší čistoty na </w:t>
      </w:r>
      <w:proofErr w:type="spellStart"/>
      <w:r w:rsidRPr="00034BCB">
        <w:rPr>
          <w:rFonts w:ascii="Arial" w:eastAsia="Times New Roman" w:hAnsi="Arial" w:cs="Arial"/>
          <w:b/>
        </w:rPr>
        <w:t>ultračistou</w:t>
      </w:r>
      <w:proofErr w:type="spellEnd"/>
      <w:r w:rsidRPr="00034BCB">
        <w:rPr>
          <w:rFonts w:ascii="Arial" w:eastAsia="Times New Roman" w:hAnsi="Arial" w:cs="Arial"/>
          <w:b/>
        </w:rPr>
        <w:t xml:space="preserve"> úroveň na principu zahřívání čistícího media v heliové atmosféře a reakci oxidační vrstvy s nečistotami.</w:t>
      </w:r>
    </w:p>
    <w:p w14:paraId="5D627683" w14:textId="25EB7733" w:rsidR="00F253FB"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BC39FF" w:rsidRPr="00F921D2" w14:paraId="167961C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7C9CFDB" w14:textId="5E7D4AA8" w:rsidR="00BC39FF" w:rsidRPr="00F253FB" w:rsidRDefault="004F2BEB" w:rsidP="004F2BEB">
            <w:pPr>
              <w:spacing w:line="240" w:lineRule="auto"/>
              <w:jc w:val="both"/>
              <w:rPr>
                <w:rFonts w:ascii="Arial" w:eastAsia="Calibri" w:hAnsi="Arial" w:cs="Arial"/>
                <w:iCs/>
              </w:rPr>
            </w:pPr>
            <w:r w:rsidRPr="004F2BEB">
              <w:rPr>
                <w:rFonts w:ascii="Arial" w:eastAsia="Calibri" w:hAnsi="Arial" w:cs="Arial"/>
                <w:iCs/>
              </w:rPr>
              <w:t xml:space="preserve">Čistící médium: neodpařitelná tepelně aktivovaná slitina typu </w:t>
            </w:r>
            <w:proofErr w:type="spellStart"/>
            <w:r w:rsidRPr="004F2BEB">
              <w:rPr>
                <w:rFonts w:ascii="Arial" w:eastAsia="Calibri" w:hAnsi="Arial" w:cs="Arial"/>
                <w:iCs/>
              </w:rPr>
              <w:t>getter</w:t>
            </w:r>
            <w:proofErr w:type="spellEnd"/>
            <w:r w:rsidRPr="004F2BEB">
              <w:rPr>
                <w:rFonts w:ascii="Arial" w:eastAsia="Calibri" w:hAnsi="Arial" w:cs="Arial"/>
                <w:iCs/>
              </w:rPr>
              <w:t>.</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437C7EC" w14:textId="7163E739" w:rsidR="00BC39FF" w:rsidRPr="00EE4696"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AFD6786" w14:textId="2BF62081" w:rsidR="00BC39FF" w:rsidRPr="000D2CE2" w:rsidRDefault="004F2BEB" w:rsidP="00BC39FF">
            <w:pPr>
              <w:spacing w:before="240" w:after="240" w:line="240" w:lineRule="auto"/>
              <w:jc w:val="center"/>
              <w:rPr>
                <w:rFonts w:ascii="Arial" w:hAnsi="Arial" w:cs="Arial"/>
                <w:i/>
                <w:highlight w:val="yellow"/>
              </w:rPr>
            </w:pPr>
            <w:r>
              <w:rPr>
                <w:rFonts w:ascii="Arial" w:hAnsi="Arial" w:cs="Arial"/>
                <w:iCs/>
                <w:highlight w:val="yellow"/>
              </w:rPr>
              <w:t>ANO/NE</w:t>
            </w:r>
          </w:p>
        </w:tc>
      </w:tr>
      <w:tr w:rsidR="00BC39FF"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FE2946" w14:textId="3859D66D" w:rsidR="00BC39FF" w:rsidRPr="00EA7D5E" w:rsidRDefault="004F2BEB" w:rsidP="004F2BEB">
            <w:pPr>
              <w:spacing w:line="240" w:lineRule="auto"/>
              <w:jc w:val="both"/>
              <w:rPr>
                <w:rFonts w:ascii="Arial" w:eastAsia="Calibri" w:hAnsi="Arial" w:cs="Arial"/>
                <w:iCs/>
              </w:rPr>
            </w:pPr>
            <w:r w:rsidRPr="004F2BEB">
              <w:rPr>
                <w:rFonts w:ascii="Arial" w:eastAsia="Calibri" w:hAnsi="Arial" w:cs="Arial"/>
                <w:iCs/>
              </w:rPr>
              <w:t>Výstupní čistota helia</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7A5732A6" w:rsidR="00BC39FF" w:rsidRDefault="004F2BEB" w:rsidP="004F2BEB">
            <w:pPr>
              <w:spacing w:before="240" w:after="240" w:line="240" w:lineRule="auto"/>
              <w:jc w:val="center"/>
              <w:rPr>
                <w:rFonts w:ascii="Arial" w:eastAsia="Times New Roman" w:hAnsi="Arial" w:cs="Arial"/>
              </w:rPr>
            </w:pPr>
            <w:r w:rsidRPr="004F2BEB">
              <w:rPr>
                <w:rFonts w:ascii="Arial" w:eastAsia="Calibri" w:hAnsi="Arial" w:cs="Arial"/>
                <w:iCs/>
              </w:rPr>
              <w:t>&gt; 6.5</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2C9F55EC" w:rsidR="00BC39FF" w:rsidRPr="005B2A0A"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A1F96BC" w14:textId="007DD0C5" w:rsidR="00BC39FF" w:rsidRPr="00EA7D5E" w:rsidRDefault="004F2BEB" w:rsidP="004F2BEB">
            <w:pPr>
              <w:spacing w:line="240" w:lineRule="auto"/>
              <w:jc w:val="both"/>
              <w:rPr>
                <w:rFonts w:ascii="Arial" w:eastAsia="Calibri" w:hAnsi="Arial" w:cs="Arial"/>
                <w:iCs/>
              </w:rPr>
            </w:pPr>
            <w:r w:rsidRPr="004F2BEB">
              <w:rPr>
                <w:rFonts w:ascii="Arial" w:eastAsia="Calibri" w:hAnsi="Arial" w:cs="Arial"/>
                <w:iCs/>
              </w:rPr>
              <w:t>Požadavek na snížení vstupní koncentrac</w:t>
            </w:r>
            <w:r>
              <w:rPr>
                <w:rFonts w:ascii="Arial" w:eastAsia="Calibri" w:hAnsi="Arial" w:cs="Arial"/>
                <w:iCs/>
              </w:rPr>
              <w:t>i</w:t>
            </w:r>
            <w:r w:rsidRPr="004F2BEB">
              <w:rPr>
                <w:rFonts w:ascii="Arial" w:eastAsia="Calibri" w:hAnsi="Arial" w:cs="Arial"/>
                <w:iCs/>
              </w:rPr>
              <w:t xml:space="preserve"> nečistot z 10 </w:t>
            </w:r>
            <w:proofErr w:type="spellStart"/>
            <w:r w:rsidRPr="004F2BEB">
              <w:rPr>
                <w:rFonts w:ascii="Arial" w:eastAsia="Calibri" w:hAnsi="Arial" w:cs="Arial"/>
                <w:iCs/>
              </w:rPr>
              <w:t>ppm</w:t>
            </w:r>
            <w:proofErr w:type="spellEnd"/>
            <w:r w:rsidRPr="004F2BEB">
              <w:rPr>
                <w:rFonts w:ascii="Arial" w:eastAsia="Calibri" w:hAnsi="Arial" w:cs="Arial"/>
                <w:iCs/>
              </w:rPr>
              <w:t xml:space="preserve"> na výstupní koncentraci cca 10 </w:t>
            </w:r>
            <w:proofErr w:type="spellStart"/>
            <w:r w:rsidRPr="004F2BEB">
              <w:rPr>
                <w:rFonts w:ascii="Arial" w:eastAsia="Calibri" w:hAnsi="Arial" w:cs="Arial"/>
                <w:iCs/>
              </w:rPr>
              <w:t>ppb</w:t>
            </w:r>
            <w:proofErr w:type="spellEnd"/>
            <w:r w:rsidRPr="004F2BEB">
              <w:rPr>
                <w:rFonts w:ascii="Arial" w:eastAsia="Calibri" w:hAnsi="Arial" w:cs="Arial"/>
                <w:iCs/>
              </w:rPr>
              <w:t xml:space="preserve"> </w:t>
            </w:r>
            <w:proofErr w:type="gramStart"/>
            <w:r w:rsidRPr="004F2BEB">
              <w:rPr>
                <w:rFonts w:ascii="Arial" w:eastAsia="Calibri" w:hAnsi="Arial" w:cs="Arial"/>
                <w:iCs/>
              </w:rPr>
              <w:t>pro  tyto</w:t>
            </w:r>
            <w:proofErr w:type="gramEnd"/>
            <w:r w:rsidRPr="004F2BEB">
              <w:rPr>
                <w:rFonts w:ascii="Arial" w:eastAsia="Calibri" w:hAnsi="Arial" w:cs="Arial"/>
                <w:iCs/>
              </w:rPr>
              <w:t xml:space="preserve"> plyny: H</w:t>
            </w:r>
            <w:r w:rsidRPr="004F2BEB">
              <w:rPr>
                <w:rFonts w:ascii="Cambria Math" w:eastAsia="Calibri" w:hAnsi="Cambria Math" w:cs="Cambria Math"/>
                <w:iCs/>
              </w:rPr>
              <w:t>₂</w:t>
            </w:r>
            <w:r w:rsidRPr="004F2BEB">
              <w:rPr>
                <w:rFonts w:ascii="Arial" w:eastAsia="Calibri" w:hAnsi="Arial" w:cs="Arial"/>
                <w:iCs/>
              </w:rPr>
              <w:t>O, H</w:t>
            </w:r>
            <w:r w:rsidRPr="004F2BEB">
              <w:rPr>
                <w:rFonts w:ascii="Cambria Math" w:eastAsia="Calibri" w:hAnsi="Cambria Math" w:cs="Cambria Math"/>
                <w:iCs/>
              </w:rPr>
              <w:t>₂</w:t>
            </w:r>
            <w:r w:rsidRPr="004F2BEB">
              <w:rPr>
                <w:rFonts w:ascii="Arial" w:eastAsia="Calibri" w:hAnsi="Arial" w:cs="Arial"/>
                <w:iCs/>
              </w:rPr>
              <w:t>, O</w:t>
            </w:r>
            <w:r w:rsidRPr="004F2BEB">
              <w:rPr>
                <w:rFonts w:ascii="Cambria Math" w:eastAsia="Calibri" w:hAnsi="Cambria Math" w:cs="Cambria Math"/>
                <w:iCs/>
              </w:rPr>
              <w:t>₂</w:t>
            </w:r>
            <w:r w:rsidRPr="004F2BEB">
              <w:rPr>
                <w:rFonts w:ascii="Arial" w:eastAsia="Calibri" w:hAnsi="Arial" w:cs="Arial"/>
                <w:iCs/>
              </w:rPr>
              <w:t>, N</w:t>
            </w:r>
            <w:r w:rsidRPr="004F2BEB">
              <w:rPr>
                <w:rFonts w:ascii="Cambria Math" w:eastAsia="Calibri" w:hAnsi="Cambria Math" w:cs="Cambria Math"/>
                <w:iCs/>
              </w:rPr>
              <w:t>₂</w:t>
            </w:r>
            <w:r w:rsidRPr="004F2BEB">
              <w:rPr>
                <w:rFonts w:ascii="Arial" w:eastAsia="Calibri" w:hAnsi="Arial" w:cs="Arial"/>
                <w:iCs/>
              </w:rPr>
              <w:t>, NO, NH</w:t>
            </w:r>
            <w:r w:rsidRPr="004F2BEB">
              <w:rPr>
                <w:rFonts w:ascii="Cambria Math" w:eastAsia="Calibri" w:hAnsi="Cambria Math" w:cs="Cambria Math"/>
                <w:iCs/>
              </w:rPr>
              <w:t>₃</w:t>
            </w:r>
            <w:r w:rsidRPr="004F2BEB">
              <w:rPr>
                <w:rFonts w:ascii="Arial" w:eastAsia="Calibri" w:hAnsi="Arial" w:cs="Arial"/>
                <w:iCs/>
              </w:rPr>
              <w:t>, CO, CO</w:t>
            </w:r>
            <w:r w:rsidRPr="004F2BEB">
              <w:rPr>
                <w:rFonts w:ascii="Cambria Math" w:eastAsia="Calibri" w:hAnsi="Cambria Math" w:cs="Cambria Math"/>
                <w:iCs/>
              </w:rPr>
              <w:t>₂</w:t>
            </w:r>
            <w:r w:rsidRPr="004F2BEB">
              <w:rPr>
                <w:rFonts w:ascii="Arial" w:eastAsia="Calibri" w:hAnsi="Arial" w:cs="Arial"/>
                <w:iCs/>
              </w:rPr>
              <w:t>, CH</w:t>
            </w:r>
            <w:r w:rsidRPr="004F2BEB">
              <w:rPr>
                <w:rFonts w:ascii="Cambria Math" w:eastAsia="Calibri" w:hAnsi="Cambria Math" w:cs="Cambria Math"/>
                <w:iCs/>
              </w:rPr>
              <w:t>₄</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0761A355" w:rsidR="00BC39FF" w:rsidRPr="00AA335D"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74C9C9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454D323" w14:textId="06EC3882" w:rsidR="00BC39FF" w:rsidRPr="00EA7D5E" w:rsidRDefault="004F2BEB" w:rsidP="004F2BEB">
            <w:pPr>
              <w:spacing w:line="240" w:lineRule="auto"/>
              <w:jc w:val="both"/>
              <w:rPr>
                <w:rFonts w:ascii="Arial" w:eastAsia="Calibri" w:hAnsi="Arial" w:cs="Arial"/>
                <w:iCs/>
              </w:rPr>
            </w:pPr>
            <w:r w:rsidRPr="004F2BEB">
              <w:rPr>
                <w:rFonts w:ascii="Arial" w:eastAsia="Calibri" w:hAnsi="Arial" w:cs="Arial"/>
                <w:iCs/>
              </w:rPr>
              <w:t>Požadavek na odstraňování nečistot: CF</w:t>
            </w:r>
            <w:r w:rsidRPr="004F2BEB">
              <w:rPr>
                <w:rFonts w:ascii="Cambria Math" w:eastAsia="Calibri" w:hAnsi="Cambria Math" w:cs="Cambria Math"/>
                <w:iCs/>
              </w:rPr>
              <w:t>₄</w:t>
            </w:r>
            <w:r w:rsidRPr="004F2BEB">
              <w:rPr>
                <w:rFonts w:ascii="Arial" w:eastAsia="Calibri" w:hAnsi="Arial" w:cs="Arial"/>
                <w:iCs/>
              </w:rPr>
              <w:t xml:space="preserve">, </w:t>
            </w:r>
            <w:proofErr w:type="spellStart"/>
            <w:r w:rsidRPr="004F2BEB">
              <w:rPr>
                <w:rFonts w:ascii="Arial" w:eastAsia="Calibri" w:hAnsi="Arial" w:cs="Arial"/>
                <w:iCs/>
              </w:rPr>
              <w:t>CCl</w:t>
            </w:r>
            <w:proofErr w:type="spellEnd"/>
            <w:r w:rsidRPr="004F2BEB">
              <w:rPr>
                <w:rFonts w:ascii="Cambria Math" w:eastAsia="Calibri" w:hAnsi="Cambria Math" w:cs="Cambria Math"/>
                <w:iCs/>
              </w:rPr>
              <w:t>₄</w:t>
            </w:r>
            <w:r w:rsidRPr="004F2BEB">
              <w:rPr>
                <w:rFonts w:ascii="Arial" w:eastAsia="Calibri" w:hAnsi="Arial" w:cs="Arial"/>
                <w:iCs/>
              </w:rPr>
              <w:t xml:space="preserve">, </w:t>
            </w:r>
            <w:proofErr w:type="spellStart"/>
            <w:r w:rsidRPr="004F2BEB">
              <w:rPr>
                <w:rFonts w:ascii="Arial" w:eastAsia="Calibri" w:hAnsi="Arial" w:cs="Arial"/>
                <w:iCs/>
              </w:rPr>
              <w:t>SiH</w:t>
            </w:r>
            <w:proofErr w:type="spellEnd"/>
            <w:r w:rsidRPr="004F2BEB">
              <w:rPr>
                <w:rFonts w:ascii="Cambria Math" w:eastAsia="Calibri" w:hAnsi="Cambria Math" w:cs="Cambria Math"/>
                <w:iCs/>
              </w:rPr>
              <w:t>₄</w:t>
            </w:r>
            <w:r w:rsidRPr="004F2BEB">
              <w:rPr>
                <w:rFonts w:ascii="Arial" w:eastAsia="Calibri" w:hAnsi="Arial" w:cs="Arial"/>
                <w:iCs/>
              </w:rPr>
              <w:t xml:space="preserve">, lehké uhlovodíky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38C156AE" w:rsidR="00BC39FF"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035D5DD3" w:rsidR="00BC39FF" w:rsidRDefault="004F2BEB"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6498F64D"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CF9BAAE" w14:textId="461A1351" w:rsidR="00BC39FF" w:rsidRPr="00F253FB" w:rsidRDefault="004F2BEB" w:rsidP="004F2BEB">
            <w:pPr>
              <w:spacing w:line="240" w:lineRule="auto"/>
              <w:jc w:val="both"/>
              <w:rPr>
                <w:rFonts w:ascii="Arial" w:eastAsia="Calibri" w:hAnsi="Arial" w:cs="Arial"/>
                <w:iCs/>
              </w:rPr>
            </w:pPr>
            <w:r>
              <w:rPr>
                <w:rFonts w:ascii="Arial" w:eastAsia="Calibri" w:hAnsi="Arial" w:cs="Arial"/>
                <w:iCs/>
              </w:rPr>
              <w:t>Provozní tlak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37B62CE" w14:textId="01CCA7EE" w:rsidR="00BC39FF" w:rsidRDefault="004F2BEB" w:rsidP="00BC39FF">
            <w:pPr>
              <w:spacing w:before="240" w:after="240" w:line="240" w:lineRule="auto"/>
              <w:jc w:val="center"/>
              <w:rPr>
                <w:rFonts w:ascii="Arial" w:eastAsia="Times New Roman" w:hAnsi="Arial" w:cs="Arial"/>
              </w:rPr>
            </w:pPr>
            <w:r w:rsidRPr="004F2BEB">
              <w:rPr>
                <w:rFonts w:ascii="Arial" w:eastAsia="Calibri" w:hAnsi="Arial" w:cs="Arial"/>
                <w:iCs/>
              </w:rPr>
              <w:t>Maximální provozní tlak: 68 bar</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F8A3827" w14:textId="661C95C0" w:rsidR="00BC39FF" w:rsidRDefault="004F2BEB"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2B81BB" w14:textId="5C67D30E" w:rsidR="00BC39FF" w:rsidRPr="00EA7D5E" w:rsidRDefault="004F2BEB" w:rsidP="00BC39FF">
            <w:pPr>
              <w:spacing w:line="240" w:lineRule="auto"/>
              <w:jc w:val="both"/>
              <w:rPr>
                <w:rFonts w:ascii="Arial" w:eastAsia="Calibri" w:hAnsi="Arial" w:cs="Arial"/>
                <w:iCs/>
              </w:rPr>
            </w:pPr>
            <w:r>
              <w:rPr>
                <w:rFonts w:ascii="Arial" w:eastAsia="Calibri" w:hAnsi="Arial" w:cs="Arial"/>
                <w:iCs/>
              </w:rPr>
              <w:t>Průtok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17780251" w:rsidR="00BC39FF" w:rsidRDefault="004F2BEB" w:rsidP="00BC39FF">
            <w:pPr>
              <w:spacing w:before="240" w:after="240" w:line="240" w:lineRule="auto"/>
              <w:jc w:val="center"/>
              <w:rPr>
                <w:rFonts w:ascii="Arial" w:eastAsia="Times New Roman" w:hAnsi="Arial" w:cs="Arial"/>
              </w:rPr>
            </w:pPr>
            <w:r w:rsidRPr="004F2BEB">
              <w:rPr>
                <w:rFonts w:ascii="Arial" w:eastAsia="Calibri" w:hAnsi="Arial" w:cs="Arial"/>
                <w:iCs/>
              </w:rPr>
              <w:t>Maximální průtok: 1 l/min</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2BB19EE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054EE4E9" w:rsidR="00BC39FF" w:rsidRPr="00EA7D5E" w:rsidRDefault="004F2BEB" w:rsidP="00BC39FF">
            <w:pPr>
              <w:spacing w:line="240" w:lineRule="auto"/>
              <w:jc w:val="both"/>
              <w:rPr>
                <w:rFonts w:ascii="Arial" w:eastAsia="Calibri" w:hAnsi="Arial" w:cs="Arial"/>
                <w:iCs/>
              </w:rPr>
            </w:pPr>
            <w:r w:rsidRPr="004F2BEB">
              <w:rPr>
                <w:rFonts w:ascii="Arial" w:eastAsia="Calibri" w:hAnsi="Arial" w:cs="Arial"/>
                <w:iCs/>
              </w:rPr>
              <w:t>Vyhřívaný provoz pro dosažení vysoké účinnosti čištění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6B03E5E4" w:rsidR="00BC39FF" w:rsidRPr="00AA21DE"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01FD8A2F" w:rsidR="00BC39FF" w:rsidRDefault="004F2BEB" w:rsidP="00BC39FF">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319DDA8" w14:textId="77777777" w:rsidR="00F253FB" w:rsidRDefault="00F253FB" w:rsidP="00F253FB">
      <w:pPr>
        <w:spacing w:after="160" w:line="240" w:lineRule="auto"/>
        <w:ind w:left="360"/>
        <w:rPr>
          <w:rFonts w:ascii="Calibri" w:eastAsia="Calibri" w:hAnsi="Calibri" w:cs="Times New Roman"/>
          <w:kern w:val="2"/>
          <w:sz w:val="24"/>
          <w:szCs w:val="24"/>
          <w:u w:val="single"/>
          <w14:ligatures w14:val="standardContextual"/>
        </w:rPr>
      </w:pP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E331A39"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1981DBDE" w14:textId="77777777" w:rsidR="000D2CE2" w:rsidRDefault="000D2CE2" w:rsidP="000D2CE2">
      <w:pPr>
        <w:jc w:val="right"/>
        <w:rPr>
          <w:rFonts w:ascii="Arial" w:hAnsi="Arial" w:cs="Arial"/>
          <w:b/>
        </w:rPr>
      </w:pPr>
    </w:p>
    <w:p w14:paraId="25DCA15A" w14:textId="63702F5E"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034BCB">
        <w:rPr>
          <w:rFonts w:ascii="Arial" w:hAnsi="Arial" w:cs="Arial"/>
          <w:b/>
        </w:rPr>
        <w:t>8</w:t>
      </w:r>
      <w:r w:rsidR="00591B0E">
        <w:rPr>
          <w:rFonts w:ascii="Arial" w:hAnsi="Arial" w:cs="Arial"/>
          <w:b/>
        </w:rPr>
        <w:t xml:space="preserve"> zakázky</w:t>
      </w:r>
    </w:p>
    <w:p w14:paraId="1C26BB09"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4E20ABC"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3EC28632"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47A2F2F9" w14:textId="77777777" w:rsidR="00A45806" w:rsidRPr="00A45806" w:rsidRDefault="00A45806" w:rsidP="00A45806">
      <w:pPr>
        <w:spacing w:after="60"/>
        <w:jc w:val="center"/>
        <w:rPr>
          <w:rFonts w:ascii="Arial" w:hAnsi="Arial" w:cs="Arial"/>
          <w:szCs w:val="20"/>
        </w:rPr>
      </w:pPr>
    </w:p>
    <w:p w14:paraId="515006E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0624F06F"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52288E1E"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8E0ECC9"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E8DDB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6B8DC71C"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91C680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11CF628F"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5C04BA2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3C66387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38912651"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377B948"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30BE06B"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49AD138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0FD22345"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0B9FB4A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8E2596A"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E8CFCD0"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1CBB871"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6F6F8AB5"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2942C8"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3AF3C467"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34C283C7" w14:textId="69242C48"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034BCB" w:rsidRPr="00034BCB">
        <w:rPr>
          <w:rFonts w:ascii="Arial" w:hAnsi="Arial" w:cs="Arial"/>
          <w:b/>
          <w:sz w:val="22"/>
          <w:szCs w:val="22"/>
        </w:rPr>
        <w:t>Vyhřívaný čistič helia</w:t>
      </w:r>
      <w:r w:rsidRPr="0030237F">
        <w:rPr>
          <w:rFonts w:ascii="Arial" w:hAnsi="Arial" w:cs="Arial"/>
          <w:b/>
          <w:sz w:val="22"/>
          <w:szCs w:val="22"/>
        </w:rPr>
        <w:t>“</w:t>
      </w:r>
      <w:r w:rsidR="001355C9">
        <w:rPr>
          <w:rFonts w:ascii="Arial" w:hAnsi="Arial" w:cs="Arial"/>
          <w:b/>
          <w:sz w:val="22"/>
          <w:szCs w:val="22"/>
        </w:rPr>
        <w:t>.</w:t>
      </w:r>
    </w:p>
    <w:p w14:paraId="2546336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12E9C2F"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442A7F88"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D6B50A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09031FF8"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57EE3121"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67DF9621"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078F5359"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207D2B44"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dodání návodů na obsluhu v českém jazyce v elektronické podobě,</w:t>
      </w:r>
    </w:p>
    <w:p w14:paraId="7CF19070"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5A3F167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414EB8B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04110F4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1D833B7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E8CC13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8DDEA73"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4477F47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48EAB6B9" w14:textId="19C0977A"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Prodávající se zavazuje řádn</w:t>
      </w:r>
      <w:r w:rsidRPr="00F95E71">
        <w:rPr>
          <w:rFonts w:ascii="Arial" w:hAnsi="Arial" w:cs="Arial"/>
        </w:rPr>
        <w:t xml:space="preserve">ě dodat zboží včetně souvisejících plnění dle čl. 3.1 této smlouvy (vyjma písm. f) téhož článku) nejpozději do </w:t>
      </w:r>
      <w:r w:rsidR="00FD7DD6">
        <w:rPr>
          <w:rFonts w:ascii="Arial" w:hAnsi="Arial" w:cs="Arial"/>
        </w:rPr>
        <w:t>100</w:t>
      </w:r>
      <w:r w:rsidRPr="00F95E71">
        <w:rPr>
          <w:rFonts w:ascii="Arial" w:hAnsi="Arial" w:cs="Arial"/>
        </w:rPr>
        <w:t xml:space="preserve"> dnů od</w:t>
      </w:r>
      <w:r w:rsidRPr="0030237F">
        <w:rPr>
          <w:rFonts w:ascii="Arial" w:hAnsi="Arial" w:cs="Arial"/>
        </w:rPr>
        <w:t xml:space="preserve">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6F70BF3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364329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5F598B5"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79F02706"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0D161821"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23A862B6"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0DDFA6D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5810BEA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156EF51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5CBE61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0EB62BA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7DB463AD"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0C60D9C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7A8FCA4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794F48CC"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71A8C00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71DAD6FA" w14:textId="592A64B0"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sidR="004C340F">
        <w:rPr>
          <w:rFonts w:ascii="Arial" w:hAnsi="Arial" w:cs="Arial"/>
        </w:rPr>
        <w:t>6</w:t>
      </w:r>
      <w:r w:rsidRPr="00A45806">
        <w:rPr>
          <w:rFonts w:ascii="Arial" w:hAnsi="Arial" w:cs="Arial"/>
        </w:rPr>
        <w:t>.</w:t>
      </w:r>
    </w:p>
    <w:p w14:paraId="7376355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8E8786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2960241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68557F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3011A2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C55A6C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0CEB30BA"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5B917A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18CD3178"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12EF8D3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B09D299" w14:textId="77777777" w:rsidR="00A45806" w:rsidRPr="00A45806" w:rsidRDefault="00A45806" w:rsidP="00A4580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2E0F9F9"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5BE2766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19E47EE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6DE4E3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0EEA9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5EE4986C"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02B84B32"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329619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15914F40"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029A04A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69B00E5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22323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392369E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EA227C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DDD7A0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449F2BD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2962CEDF"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4EA7181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7B5393A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5054461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4C117A5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558FD005"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92C3D4A"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013801D3"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5CAAA92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A27610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73C15E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5C662B3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56958B7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21438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1CD907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CFFFD27"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139F9F5B"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DB125E5"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4007B9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354FE7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6EB3549A"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70C1805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4A64BB9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157DFFD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1DCD202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6157E08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034D326D"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394267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595474E"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ADD4729"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45FFE934" w14:textId="77777777" w:rsidR="00A45806" w:rsidRPr="00A45806" w:rsidRDefault="00A45806" w:rsidP="00A45806">
      <w:pPr>
        <w:spacing w:after="60"/>
        <w:ind w:left="567" w:hanging="567"/>
        <w:jc w:val="both"/>
        <w:rPr>
          <w:rFonts w:ascii="Arial" w:hAnsi="Arial" w:cs="Arial"/>
        </w:rPr>
      </w:pPr>
    </w:p>
    <w:p w14:paraId="05A24CBB"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3E66576F"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77350B52"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9004C5D"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B7E6421"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2AD3FF63"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21F931B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6FF3F3AB"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7CD7D2F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EC4501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C40D1B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6DBAAAE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3B540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58148B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27480F8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89B75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484B6F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10EE508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193483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A4660A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68F63450"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4841DEDE" w14:textId="77777777" w:rsidR="00A45806" w:rsidRPr="00A45806" w:rsidRDefault="00A45806" w:rsidP="00A45806">
      <w:pPr>
        <w:autoSpaceDE w:val="0"/>
        <w:autoSpaceDN w:val="0"/>
        <w:adjustRightInd w:val="0"/>
        <w:spacing w:after="60"/>
        <w:jc w:val="both"/>
        <w:rPr>
          <w:rFonts w:ascii="Arial" w:hAnsi="Arial" w:cs="Arial"/>
          <w:b/>
          <w:bCs/>
        </w:rPr>
      </w:pPr>
    </w:p>
    <w:p w14:paraId="220FC38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51CC62C3"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28F5BB71" w14:textId="77777777" w:rsidR="00A45806" w:rsidRPr="00A45806" w:rsidRDefault="00A45806" w:rsidP="00A45806">
      <w:pPr>
        <w:spacing w:after="60"/>
        <w:rPr>
          <w:rFonts w:ascii="Arial" w:hAnsi="Arial" w:cs="Arial"/>
        </w:rPr>
      </w:pPr>
    </w:p>
    <w:p w14:paraId="7624A767" w14:textId="77777777" w:rsidR="00A45806" w:rsidRPr="00A45806" w:rsidRDefault="00A45806" w:rsidP="00A45806">
      <w:pPr>
        <w:spacing w:after="60"/>
        <w:rPr>
          <w:rFonts w:ascii="Arial" w:hAnsi="Arial" w:cs="Arial"/>
        </w:rPr>
      </w:pPr>
    </w:p>
    <w:p w14:paraId="773713F3" w14:textId="77777777" w:rsidR="00A45806" w:rsidRPr="00A45806" w:rsidRDefault="00A45806" w:rsidP="00A45806">
      <w:pPr>
        <w:spacing w:after="60"/>
        <w:rPr>
          <w:rFonts w:ascii="Arial" w:hAnsi="Arial" w:cs="Arial"/>
        </w:rPr>
      </w:pPr>
    </w:p>
    <w:p w14:paraId="17054319"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3FEBC643" w14:textId="77777777" w:rsidR="00A45806" w:rsidRPr="00A45806" w:rsidRDefault="00A45806" w:rsidP="00A4580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5321CA50" w14:textId="77777777" w:rsidR="000D2CE2" w:rsidRDefault="000D2CE2" w:rsidP="000D2CE2">
      <w:pPr>
        <w:jc w:val="right"/>
        <w:rPr>
          <w:rFonts w:ascii="Arial" w:hAnsi="Arial" w:cs="Arial"/>
          <w:b/>
        </w:rPr>
      </w:pPr>
      <w:r>
        <w:rPr>
          <w:rFonts w:ascii="Arial" w:hAnsi="Arial" w:cs="Arial"/>
          <w:b/>
        </w:rPr>
        <w:br w:type="page"/>
      </w:r>
    </w:p>
    <w:p w14:paraId="525B2DF6" w14:textId="77777777" w:rsidR="000D2CE2" w:rsidRDefault="000D2CE2" w:rsidP="000D2CE2">
      <w:pPr>
        <w:jc w:val="right"/>
        <w:rPr>
          <w:rFonts w:ascii="Arial" w:hAnsi="Arial" w:cs="Arial"/>
          <w:b/>
        </w:rPr>
      </w:pPr>
    </w:p>
    <w:p w14:paraId="0EFF1A7A"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491283" w14:textId="77777777" w:rsidTr="003D1891">
        <w:trPr>
          <w:jc w:val="center"/>
        </w:trPr>
        <w:tc>
          <w:tcPr>
            <w:tcW w:w="9212" w:type="dxa"/>
            <w:gridSpan w:val="2"/>
            <w:shd w:val="clear" w:color="auto" w:fill="B8CCE4" w:themeFill="accent1" w:themeFillTint="66"/>
          </w:tcPr>
          <w:p w14:paraId="6BA76135"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23B1840A" w14:textId="77777777" w:rsidTr="003D1891">
        <w:trPr>
          <w:jc w:val="center"/>
        </w:trPr>
        <w:tc>
          <w:tcPr>
            <w:tcW w:w="1913" w:type="dxa"/>
          </w:tcPr>
          <w:p w14:paraId="0157E091"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234EDE43" w14:textId="6FA1A7AB" w:rsidR="00A161FC" w:rsidRPr="000D2CE2" w:rsidRDefault="00034BCB" w:rsidP="003D1891">
            <w:pPr>
              <w:rPr>
                <w:rFonts w:ascii="Arial" w:hAnsi="Arial" w:cs="Arial"/>
              </w:rPr>
            </w:pPr>
            <w:r w:rsidRPr="00034BCB">
              <w:rPr>
                <w:rFonts w:ascii="Arial" w:hAnsi="Arial" w:cs="Arial"/>
              </w:rPr>
              <w:t>Vyhřívaný čistič helia</w:t>
            </w:r>
          </w:p>
        </w:tc>
      </w:tr>
      <w:tr w:rsidR="00A161FC" w:rsidRPr="000D2CE2" w14:paraId="1CBB521C" w14:textId="77777777" w:rsidTr="003D1891">
        <w:trPr>
          <w:jc w:val="center"/>
        </w:trPr>
        <w:tc>
          <w:tcPr>
            <w:tcW w:w="9212" w:type="dxa"/>
            <w:gridSpan w:val="2"/>
            <w:shd w:val="clear" w:color="auto" w:fill="B8CCE4" w:themeFill="accent1" w:themeFillTint="66"/>
          </w:tcPr>
          <w:p w14:paraId="6C232E7D"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518FFD3D" w14:textId="77777777" w:rsidTr="003D1891">
        <w:trPr>
          <w:jc w:val="center"/>
        </w:trPr>
        <w:tc>
          <w:tcPr>
            <w:tcW w:w="1913" w:type="dxa"/>
          </w:tcPr>
          <w:p w14:paraId="5949AC33" w14:textId="77777777" w:rsidR="00A161FC" w:rsidRPr="000D2CE2" w:rsidRDefault="00A161FC" w:rsidP="003D1891">
            <w:pPr>
              <w:rPr>
                <w:rFonts w:ascii="Arial" w:hAnsi="Arial" w:cs="Arial"/>
              </w:rPr>
            </w:pPr>
            <w:r>
              <w:rPr>
                <w:rFonts w:ascii="Arial" w:hAnsi="Arial" w:cs="Arial"/>
              </w:rPr>
              <w:t>Název</w:t>
            </w:r>
          </w:p>
        </w:tc>
        <w:tc>
          <w:tcPr>
            <w:tcW w:w="7299" w:type="dxa"/>
          </w:tcPr>
          <w:p w14:paraId="7A600AE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184BDDE2" w14:textId="77777777" w:rsidTr="003D1891">
        <w:trPr>
          <w:jc w:val="center"/>
        </w:trPr>
        <w:tc>
          <w:tcPr>
            <w:tcW w:w="1913" w:type="dxa"/>
          </w:tcPr>
          <w:p w14:paraId="1BF2F098"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5204AC1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54014407" w14:textId="77777777" w:rsidTr="003D1891">
        <w:trPr>
          <w:jc w:val="center"/>
        </w:trPr>
        <w:tc>
          <w:tcPr>
            <w:tcW w:w="1913" w:type="dxa"/>
          </w:tcPr>
          <w:p w14:paraId="318BD88E"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5CFF94E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4F9BAB04" w14:textId="77777777" w:rsidR="00A161FC" w:rsidRPr="000D2CE2" w:rsidRDefault="00A161FC" w:rsidP="00A161FC">
      <w:pPr>
        <w:jc w:val="center"/>
        <w:rPr>
          <w:rFonts w:ascii="Arial" w:hAnsi="Arial" w:cs="Arial"/>
          <w:b/>
          <w:u w:val="single"/>
        </w:rPr>
      </w:pPr>
    </w:p>
    <w:p w14:paraId="21FC9691"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7228F18B"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7C75C88"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6358AC6"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F199EB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44EA31E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788AAD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010F61CA"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462727C6"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672DA2E8"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5CCF8AA0" w14:textId="77777777" w:rsidR="00A161FC" w:rsidRPr="000D2CE2" w:rsidRDefault="00A161FC" w:rsidP="00A161FC">
      <w:pPr>
        <w:jc w:val="both"/>
        <w:rPr>
          <w:rFonts w:ascii="Arial" w:hAnsi="Arial" w:cs="Arial"/>
        </w:rPr>
      </w:pPr>
    </w:p>
    <w:p w14:paraId="21060EFE"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0079EB36" w14:textId="77777777" w:rsidR="00A161FC" w:rsidRPr="000D2CE2" w:rsidRDefault="00A161FC" w:rsidP="00A161FC">
      <w:pPr>
        <w:jc w:val="both"/>
        <w:rPr>
          <w:rFonts w:ascii="Arial" w:hAnsi="Arial" w:cs="Arial"/>
        </w:rPr>
      </w:pPr>
    </w:p>
    <w:p w14:paraId="60412E4A" w14:textId="77777777" w:rsidR="00F74399" w:rsidRDefault="00A161FC" w:rsidP="00A161FC">
      <w:pPr>
        <w:rPr>
          <w:rFonts w:ascii="Arial" w:hAnsi="Arial" w:cs="Arial"/>
        </w:rPr>
      </w:pPr>
      <w:r w:rsidRPr="000D2CE2">
        <w:rPr>
          <w:rFonts w:ascii="Arial" w:hAnsi="Arial" w:cs="Arial"/>
        </w:rPr>
        <w:t>podpis osoby oprávněné jednat za účastníka</w:t>
      </w:r>
    </w:p>
    <w:p w14:paraId="3F99A526" w14:textId="77777777" w:rsidR="000D2CE2" w:rsidRDefault="000D2CE2" w:rsidP="00114AC3">
      <w:pPr>
        <w:rPr>
          <w:rFonts w:ascii="Arial" w:hAnsi="Arial" w:cs="Arial"/>
        </w:rPr>
      </w:pPr>
    </w:p>
    <w:p w14:paraId="04618710"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2C8725A3" w14:textId="77777777" w:rsidR="00114AC3" w:rsidRDefault="00114AC3" w:rsidP="00114AC3">
      <w:pPr>
        <w:rPr>
          <w:rFonts w:ascii="Arial" w:hAnsi="Arial" w:cs="Arial"/>
        </w:rPr>
      </w:pPr>
    </w:p>
    <w:p w14:paraId="57BBBA3A"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63CC0317" w:rsidR="00A161FC" w:rsidRPr="000D2CE2" w:rsidRDefault="00034BCB" w:rsidP="003D1891">
            <w:pPr>
              <w:rPr>
                <w:rFonts w:ascii="Arial" w:hAnsi="Arial" w:cs="Arial"/>
              </w:rPr>
            </w:pPr>
            <w:r w:rsidRPr="00034BCB">
              <w:rPr>
                <w:rFonts w:ascii="Arial" w:hAnsi="Arial" w:cs="Arial"/>
              </w:rPr>
              <w:t>Vyhřívaný čistič helia</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255EE09" w14:textId="77777777" w:rsidR="00A161FC" w:rsidRPr="000D2CE2" w:rsidRDefault="00A161FC" w:rsidP="00A161FC">
      <w:pPr>
        <w:rPr>
          <w:rFonts w:ascii="Arial" w:hAnsi="Arial" w:cs="Arial"/>
        </w:rPr>
      </w:pPr>
    </w:p>
    <w:p w14:paraId="55999AB9"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00D181A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7234238" w14:textId="77777777" w:rsidTr="003D1891">
        <w:trPr>
          <w:jc w:val="center"/>
        </w:trPr>
        <w:tc>
          <w:tcPr>
            <w:tcW w:w="9212" w:type="dxa"/>
            <w:gridSpan w:val="2"/>
            <w:shd w:val="clear" w:color="auto" w:fill="B8CCE4" w:themeFill="accent1" w:themeFillTint="66"/>
          </w:tcPr>
          <w:p w14:paraId="006894D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596BDF44" w14:textId="77777777" w:rsidTr="003D1891">
        <w:trPr>
          <w:jc w:val="center"/>
        </w:trPr>
        <w:tc>
          <w:tcPr>
            <w:tcW w:w="1772" w:type="dxa"/>
          </w:tcPr>
          <w:p w14:paraId="2EB02736"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36DD0DEC" w14:textId="04267FB2" w:rsidR="00A161FC" w:rsidRPr="000D2CE2" w:rsidRDefault="00034BCB" w:rsidP="003D1891">
            <w:pPr>
              <w:rPr>
                <w:rFonts w:ascii="Arial" w:hAnsi="Arial" w:cs="Arial"/>
              </w:rPr>
            </w:pPr>
            <w:r w:rsidRPr="00034BCB">
              <w:rPr>
                <w:rFonts w:ascii="Arial" w:hAnsi="Arial" w:cs="Arial"/>
              </w:rPr>
              <w:t>Vyhřívaný čistič helia</w:t>
            </w:r>
          </w:p>
        </w:tc>
      </w:tr>
      <w:tr w:rsidR="00A161FC" w:rsidRPr="000D2CE2" w14:paraId="17546A8D" w14:textId="77777777" w:rsidTr="003D1891">
        <w:trPr>
          <w:jc w:val="center"/>
        </w:trPr>
        <w:tc>
          <w:tcPr>
            <w:tcW w:w="9212" w:type="dxa"/>
            <w:gridSpan w:val="2"/>
            <w:shd w:val="clear" w:color="auto" w:fill="B8CCE4" w:themeFill="accent1" w:themeFillTint="66"/>
          </w:tcPr>
          <w:p w14:paraId="1A6106F3"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6D9941B4" w14:textId="77777777" w:rsidTr="003D1891">
        <w:trPr>
          <w:jc w:val="center"/>
        </w:trPr>
        <w:tc>
          <w:tcPr>
            <w:tcW w:w="1772" w:type="dxa"/>
          </w:tcPr>
          <w:p w14:paraId="1C8867A2" w14:textId="77777777" w:rsidR="00A161FC" w:rsidRPr="000D2CE2" w:rsidRDefault="00A161FC" w:rsidP="003D1891">
            <w:pPr>
              <w:rPr>
                <w:rFonts w:ascii="Arial" w:hAnsi="Arial" w:cs="Arial"/>
              </w:rPr>
            </w:pPr>
            <w:r>
              <w:rPr>
                <w:rFonts w:ascii="Arial" w:hAnsi="Arial" w:cs="Arial"/>
              </w:rPr>
              <w:t>Název</w:t>
            </w:r>
          </w:p>
        </w:tc>
        <w:tc>
          <w:tcPr>
            <w:tcW w:w="7440" w:type="dxa"/>
          </w:tcPr>
          <w:p w14:paraId="37FC857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32367D51" w14:textId="77777777" w:rsidTr="003D1891">
        <w:trPr>
          <w:jc w:val="center"/>
        </w:trPr>
        <w:tc>
          <w:tcPr>
            <w:tcW w:w="1772" w:type="dxa"/>
          </w:tcPr>
          <w:p w14:paraId="2B7A92EC"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18633D61"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496FE00C" w14:textId="77777777" w:rsidTr="003D1891">
        <w:trPr>
          <w:jc w:val="center"/>
        </w:trPr>
        <w:tc>
          <w:tcPr>
            <w:tcW w:w="1772" w:type="dxa"/>
          </w:tcPr>
          <w:p w14:paraId="6F726669"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12CFD01F"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3F2FB55" w14:textId="77777777" w:rsidR="00A161FC" w:rsidRDefault="00A161FC" w:rsidP="00A161FC">
      <w:pPr>
        <w:pStyle w:val="Zkladntextodsazen3"/>
        <w:ind w:left="0"/>
        <w:rPr>
          <w:rFonts w:ascii="Arial" w:hAnsi="Arial" w:cs="Arial"/>
          <w:bCs/>
          <w:sz w:val="22"/>
          <w:szCs w:val="22"/>
        </w:rPr>
      </w:pPr>
    </w:p>
    <w:p w14:paraId="7BA0D6F3"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646317C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4893C532"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6800E6D4"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05A440CA"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9563CD5" w14:textId="77777777" w:rsidR="00A161FC" w:rsidRDefault="00A161FC" w:rsidP="00A161FC">
      <w:pPr>
        <w:pStyle w:val="Zkladntextodsazen3"/>
        <w:ind w:left="0"/>
        <w:rPr>
          <w:rFonts w:ascii="Arial" w:hAnsi="Arial" w:cs="Arial"/>
          <w:bCs/>
          <w:sz w:val="22"/>
          <w:szCs w:val="22"/>
        </w:rPr>
      </w:pPr>
    </w:p>
    <w:p w14:paraId="4C687ABD"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F3989D0" w14:textId="77777777" w:rsidR="00A161FC" w:rsidRPr="000D2CE2" w:rsidRDefault="00A161FC" w:rsidP="00A161FC">
      <w:pPr>
        <w:rPr>
          <w:rFonts w:ascii="Arial" w:hAnsi="Arial" w:cs="Arial"/>
        </w:rPr>
      </w:pPr>
    </w:p>
    <w:p w14:paraId="3D68D2A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965D4DC" w14:textId="77777777" w:rsidR="002B554C" w:rsidRDefault="002B554C">
      <w:pPr>
        <w:rPr>
          <w:rFonts w:ascii="Arial" w:hAnsi="Arial" w:cs="Arial"/>
        </w:rPr>
      </w:pPr>
      <w:r>
        <w:rPr>
          <w:rFonts w:ascii="Arial" w:hAnsi="Arial" w:cs="Arial"/>
        </w:rPr>
        <w:br w:type="page"/>
      </w:r>
    </w:p>
    <w:p w14:paraId="52A402B8"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1421D50"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9091DFD"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DD0683F"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F3C241B"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3381361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06B697F"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3BAE21D" w14:textId="51355742" w:rsidR="007A4F27" w:rsidRPr="00536E15" w:rsidRDefault="00034BCB"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34BCB">
              <w:rPr>
                <w:rFonts w:ascii="Arial" w:hAnsi="Arial" w:cs="Arial"/>
                <w:sz w:val="20"/>
                <w:szCs w:val="20"/>
                <w:lang w:bidi="en-US"/>
              </w:rPr>
              <w:t>Vyhřívaný čistič helia</w:t>
            </w:r>
          </w:p>
        </w:tc>
      </w:tr>
      <w:tr w:rsidR="007A4F27" w:rsidRPr="00536E15" w14:paraId="27AB8AB9"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F0616F4"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4AC28AD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AF5AD4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3E046C7B"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5AFED34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4544F7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17A46E6"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08EBE67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FB1517"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765013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39CF677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CF4E3AE"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27D1C12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C25272"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0DE1BB0E"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46D9E49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4ECEB4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00B26BE"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3AA2CD5B"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2477F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021A00F1"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12ACF18F" w14:textId="77777777" w:rsidR="007A4F27" w:rsidRPr="00536E15" w:rsidRDefault="007A4F27" w:rsidP="007A4F27">
      <w:pPr>
        <w:spacing w:after="120"/>
        <w:ind w:right="-284"/>
        <w:rPr>
          <w:rFonts w:ascii="Arial" w:hAnsi="Arial" w:cs="Arial"/>
          <w:b/>
          <w:snapToGrid w:val="0"/>
          <w:sz w:val="20"/>
          <w:szCs w:val="20"/>
          <w:u w:val="single"/>
          <w:lang w:val="fr-FR"/>
        </w:rPr>
      </w:pPr>
    </w:p>
    <w:p w14:paraId="0FBBA8B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2D44E71A"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76289C4"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2A4BFC52"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01BA0A5"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7EEE9F0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3579527"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201C94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9931636"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AC7EDA9"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52F5304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234A035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96FCC04"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46D1" w14:textId="77777777" w:rsidR="007A1438" w:rsidRDefault="007A1438" w:rsidP="009C2365">
      <w:pPr>
        <w:spacing w:after="0" w:line="240" w:lineRule="auto"/>
      </w:pPr>
      <w:r>
        <w:separator/>
      </w:r>
    </w:p>
  </w:endnote>
  <w:endnote w:type="continuationSeparator" w:id="0">
    <w:p w14:paraId="489185CE" w14:textId="77777777" w:rsidR="007A1438" w:rsidRDefault="007A1438"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5474" w14:textId="77777777" w:rsidR="007A1438" w:rsidRDefault="007A1438" w:rsidP="009C2365">
      <w:pPr>
        <w:spacing w:after="0" w:line="240" w:lineRule="auto"/>
      </w:pPr>
      <w:r>
        <w:separator/>
      </w:r>
    </w:p>
  </w:footnote>
  <w:footnote w:type="continuationSeparator" w:id="0">
    <w:p w14:paraId="6403AFA8" w14:textId="77777777" w:rsidR="007A1438" w:rsidRDefault="007A1438" w:rsidP="009C2365">
      <w:pPr>
        <w:spacing w:after="0" w:line="240" w:lineRule="auto"/>
      </w:pPr>
      <w:r>
        <w:continuationSeparator/>
      </w:r>
    </w:p>
  </w:footnote>
  <w:footnote w:id="1">
    <w:p w14:paraId="4224EBD8"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F22C7D"/>
    <w:multiLevelType w:val="hybridMultilevel"/>
    <w:tmpl w:val="E64442A4"/>
    <w:lvl w:ilvl="0" w:tplc="106AF8C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744646812">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1877308658">
    <w:abstractNumId w:val="2"/>
  </w:num>
  <w:num w:numId="3" w16cid:durableId="1241669935">
    <w:abstractNumId w:val="3"/>
  </w:num>
  <w:num w:numId="4" w16cid:durableId="1385567617">
    <w:abstractNumId w:val="5"/>
  </w:num>
  <w:num w:numId="5" w16cid:durableId="1103037859">
    <w:abstractNumId w:val="9"/>
  </w:num>
  <w:num w:numId="6" w16cid:durableId="2122411981">
    <w:abstractNumId w:val="10"/>
  </w:num>
  <w:num w:numId="7" w16cid:durableId="1795176745">
    <w:abstractNumId w:val="11"/>
  </w:num>
  <w:num w:numId="8" w16cid:durableId="980111913">
    <w:abstractNumId w:val="14"/>
  </w:num>
  <w:num w:numId="9" w16cid:durableId="1532650164">
    <w:abstractNumId w:val="17"/>
  </w:num>
  <w:num w:numId="10" w16cid:durableId="97987872">
    <w:abstractNumId w:val="18"/>
  </w:num>
  <w:num w:numId="11" w16cid:durableId="809639395">
    <w:abstractNumId w:val="19"/>
  </w:num>
  <w:num w:numId="12" w16cid:durableId="1959143336">
    <w:abstractNumId w:val="21"/>
  </w:num>
  <w:num w:numId="13" w16cid:durableId="1574386713">
    <w:abstractNumId w:val="24"/>
  </w:num>
  <w:num w:numId="14" w16cid:durableId="1131746148">
    <w:abstractNumId w:val="26"/>
  </w:num>
  <w:num w:numId="15" w16cid:durableId="745758903">
    <w:abstractNumId w:val="25"/>
  </w:num>
  <w:num w:numId="16" w16cid:durableId="1755517009">
    <w:abstractNumId w:val="12"/>
  </w:num>
  <w:num w:numId="17" w16cid:durableId="275408162">
    <w:abstractNumId w:val="6"/>
  </w:num>
  <w:num w:numId="18" w16cid:durableId="1785422139">
    <w:abstractNumId w:val="4"/>
  </w:num>
  <w:num w:numId="19" w16cid:durableId="45378672">
    <w:abstractNumId w:val="8"/>
  </w:num>
  <w:num w:numId="20" w16cid:durableId="920257486">
    <w:abstractNumId w:val="7"/>
  </w:num>
  <w:num w:numId="21" w16cid:durableId="921446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424018">
    <w:abstractNumId w:val="23"/>
  </w:num>
  <w:num w:numId="23" w16cid:durableId="87119372">
    <w:abstractNumId w:val="0"/>
  </w:num>
  <w:num w:numId="24" w16cid:durableId="1926570581">
    <w:abstractNumId w:val="15"/>
  </w:num>
  <w:num w:numId="25" w16cid:durableId="843977194">
    <w:abstractNumId w:val="16"/>
  </w:num>
  <w:num w:numId="26" w16cid:durableId="10029495">
    <w:abstractNumId w:val="1"/>
  </w:num>
  <w:num w:numId="27" w16cid:durableId="1833132204">
    <w:abstractNumId w:val="13"/>
  </w:num>
  <w:num w:numId="28" w16cid:durableId="185776804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4BCB"/>
    <w:rsid w:val="00035DD6"/>
    <w:rsid w:val="00052648"/>
    <w:rsid w:val="00070696"/>
    <w:rsid w:val="00086DB7"/>
    <w:rsid w:val="000A1886"/>
    <w:rsid w:val="000C0F0E"/>
    <w:rsid w:val="000C44F1"/>
    <w:rsid w:val="000D2CE2"/>
    <w:rsid w:val="000D508F"/>
    <w:rsid w:val="000E0C0B"/>
    <w:rsid w:val="000E5D8D"/>
    <w:rsid w:val="000F0C95"/>
    <w:rsid w:val="00102056"/>
    <w:rsid w:val="0010510C"/>
    <w:rsid w:val="0011406D"/>
    <w:rsid w:val="00114AC3"/>
    <w:rsid w:val="001274E3"/>
    <w:rsid w:val="001355C9"/>
    <w:rsid w:val="001526AF"/>
    <w:rsid w:val="00156EC6"/>
    <w:rsid w:val="0019549D"/>
    <w:rsid w:val="001A430D"/>
    <w:rsid w:val="001A62BE"/>
    <w:rsid w:val="001B10DE"/>
    <w:rsid w:val="001C50F0"/>
    <w:rsid w:val="001C51C9"/>
    <w:rsid w:val="001E45D1"/>
    <w:rsid w:val="001E7027"/>
    <w:rsid w:val="002011C5"/>
    <w:rsid w:val="00233813"/>
    <w:rsid w:val="0025672B"/>
    <w:rsid w:val="00257C5F"/>
    <w:rsid w:val="00275FAB"/>
    <w:rsid w:val="00287591"/>
    <w:rsid w:val="00294578"/>
    <w:rsid w:val="002B1992"/>
    <w:rsid w:val="002B38AA"/>
    <w:rsid w:val="002B554C"/>
    <w:rsid w:val="002C2CF2"/>
    <w:rsid w:val="002D0502"/>
    <w:rsid w:val="002D48FC"/>
    <w:rsid w:val="002E1702"/>
    <w:rsid w:val="002E22F0"/>
    <w:rsid w:val="002F4770"/>
    <w:rsid w:val="002F53D6"/>
    <w:rsid w:val="00300824"/>
    <w:rsid w:val="0030237F"/>
    <w:rsid w:val="00341764"/>
    <w:rsid w:val="00375E70"/>
    <w:rsid w:val="00383D95"/>
    <w:rsid w:val="003919AB"/>
    <w:rsid w:val="003B23DF"/>
    <w:rsid w:val="003C1FC8"/>
    <w:rsid w:val="003C76AD"/>
    <w:rsid w:val="003D5AF9"/>
    <w:rsid w:val="003E5348"/>
    <w:rsid w:val="00412CEA"/>
    <w:rsid w:val="00415FF3"/>
    <w:rsid w:val="00424E66"/>
    <w:rsid w:val="004256D0"/>
    <w:rsid w:val="00451237"/>
    <w:rsid w:val="004518D4"/>
    <w:rsid w:val="00457CCC"/>
    <w:rsid w:val="00467274"/>
    <w:rsid w:val="00481F8B"/>
    <w:rsid w:val="004868AA"/>
    <w:rsid w:val="00487212"/>
    <w:rsid w:val="004A12BC"/>
    <w:rsid w:val="004B4857"/>
    <w:rsid w:val="004C29F1"/>
    <w:rsid w:val="004C340F"/>
    <w:rsid w:val="004E291A"/>
    <w:rsid w:val="004F2BEB"/>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01E09"/>
    <w:rsid w:val="00634174"/>
    <w:rsid w:val="00641A8D"/>
    <w:rsid w:val="00675806"/>
    <w:rsid w:val="006820F9"/>
    <w:rsid w:val="00683331"/>
    <w:rsid w:val="006B4F1F"/>
    <w:rsid w:val="006E6192"/>
    <w:rsid w:val="006F530B"/>
    <w:rsid w:val="007028D9"/>
    <w:rsid w:val="00721DCE"/>
    <w:rsid w:val="00722CAE"/>
    <w:rsid w:val="00723B8A"/>
    <w:rsid w:val="00777136"/>
    <w:rsid w:val="0078244C"/>
    <w:rsid w:val="007921CF"/>
    <w:rsid w:val="007A1438"/>
    <w:rsid w:val="007A19A2"/>
    <w:rsid w:val="007A2722"/>
    <w:rsid w:val="007A4F27"/>
    <w:rsid w:val="007B3E90"/>
    <w:rsid w:val="007B7E19"/>
    <w:rsid w:val="007E4EC8"/>
    <w:rsid w:val="007F271B"/>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3457E"/>
    <w:rsid w:val="00962436"/>
    <w:rsid w:val="00974B47"/>
    <w:rsid w:val="00983E51"/>
    <w:rsid w:val="009B34F6"/>
    <w:rsid w:val="009C2365"/>
    <w:rsid w:val="00A01A0B"/>
    <w:rsid w:val="00A13F47"/>
    <w:rsid w:val="00A152DB"/>
    <w:rsid w:val="00A161FC"/>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32060"/>
    <w:rsid w:val="00B34856"/>
    <w:rsid w:val="00B46121"/>
    <w:rsid w:val="00B568B8"/>
    <w:rsid w:val="00B63282"/>
    <w:rsid w:val="00B63822"/>
    <w:rsid w:val="00BB194C"/>
    <w:rsid w:val="00BC39FF"/>
    <w:rsid w:val="00BC6517"/>
    <w:rsid w:val="00CA0A07"/>
    <w:rsid w:val="00CD2D67"/>
    <w:rsid w:val="00CE358C"/>
    <w:rsid w:val="00CE76B7"/>
    <w:rsid w:val="00CE7817"/>
    <w:rsid w:val="00D1151F"/>
    <w:rsid w:val="00D158AD"/>
    <w:rsid w:val="00D21030"/>
    <w:rsid w:val="00D24F23"/>
    <w:rsid w:val="00D2796D"/>
    <w:rsid w:val="00D46DDB"/>
    <w:rsid w:val="00D51A56"/>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A7D5E"/>
    <w:rsid w:val="00EC3DCB"/>
    <w:rsid w:val="00EE3FCB"/>
    <w:rsid w:val="00EE4696"/>
    <w:rsid w:val="00F16A25"/>
    <w:rsid w:val="00F203CD"/>
    <w:rsid w:val="00F253FB"/>
    <w:rsid w:val="00F2556C"/>
    <w:rsid w:val="00F600F1"/>
    <w:rsid w:val="00F74399"/>
    <w:rsid w:val="00F77652"/>
    <w:rsid w:val="00F84FC2"/>
    <w:rsid w:val="00F921D2"/>
    <w:rsid w:val="00F93482"/>
    <w:rsid w:val="00F95E71"/>
    <w:rsid w:val="00FA6646"/>
    <w:rsid w:val="00FD2927"/>
    <w:rsid w:val="00FD7DD6"/>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5276-3F4D-47DC-9B49-FE5BEE4C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5211</Words>
  <Characters>30747</Characters>
  <Application>Microsoft Office Word</Application>
  <DocSecurity>0</DocSecurity>
  <Lines>668</Lines>
  <Paragraphs>386</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2025-08-04T08:31:00Z</dcterms:created>
  <dcterms:modified xsi:type="dcterms:W3CDTF">2025-08-04T17:26:00Z</dcterms:modified>
</cp:coreProperties>
</file>