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40BD959"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FD0D91">
        <w:rPr>
          <w:rFonts w:ascii="Arial" w:hAnsi="Arial" w:cs="Arial"/>
        </w:rPr>
        <w:t xml:space="preserve">Ing. Davidem </w:t>
      </w:r>
      <w:proofErr w:type="spellStart"/>
      <w:r w:rsidR="00FD0D91">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5EA01D9" w14:textId="77777777" w:rsidR="00895636" w:rsidRPr="00B8331F" w:rsidRDefault="00895636" w:rsidP="00895636">
      <w:pPr>
        <w:ind w:left="357"/>
        <w:jc w:val="both"/>
        <w:rPr>
          <w:rFonts w:ascii="Arial" w:hAnsi="Arial" w:cs="Arial"/>
          <w:sz w:val="22"/>
          <w:szCs w:val="22"/>
        </w:rPr>
      </w:pPr>
      <w:r w:rsidRPr="00B8331F">
        <w:rPr>
          <w:rFonts w:ascii="Arial" w:hAnsi="Arial" w:cs="Arial"/>
        </w:rPr>
        <w:t xml:space="preserve">Zástupce ve věcech technických: </w:t>
      </w:r>
      <w:r>
        <w:rPr>
          <w:rFonts w:ascii="Arial" w:hAnsi="Arial" w:cs="Arial"/>
        </w:rPr>
        <w:t>Ing. David Rožnovský</w:t>
      </w:r>
      <w:r w:rsidRPr="00B8331F">
        <w:rPr>
          <w:rFonts w:ascii="Arial" w:hAnsi="Arial" w:cs="Arial"/>
        </w:rPr>
        <w:t xml:space="preserve">, funkce: </w:t>
      </w:r>
      <w:r>
        <w:rPr>
          <w:rFonts w:ascii="Arial" w:hAnsi="Arial" w:cs="Arial"/>
        </w:rPr>
        <w:t>projektový manažer</w:t>
      </w:r>
    </w:p>
    <w:p w14:paraId="6D55C3B0" w14:textId="77777777" w:rsidR="00895636" w:rsidRPr="00B8331F" w:rsidRDefault="00895636" w:rsidP="00895636">
      <w:pPr>
        <w:ind w:left="357"/>
        <w:rPr>
          <w:rFonts w:ascii="Arial" w:hAnsi="Arial" w:cs="Arial"/>
        </w:rPr>
      </w:pPr>
      <w:r w:rsidRPr="00B8331F">
        <w:rPr>
          <w:rFonts w:ascii="Arial" w:hAnsi="Arial" w:cs="Arial"/>
        </w:rPr>
        <w:t>Tel:</w:t>
      </w:r>
      <w:r w:rsidRPr="00B8331F">
        <w:rPr>
          <w:rFonts w:ascii="Arial" w:hAnsi="Arial" w:cs="Arial"/>
        </w:rPr>
        <w:tab/>
      </w:r>
      <w:r w:rsidRPr="00B8331F">
        <w:rPr>
          <w:rFonts w:ascii="Arial" w:hAnsi="Arial" w:cs="Arial"/>
        </w:rPr>
        <w:tab/>
      </w:r>
      <w:r w:rsidRPr="00B8331F">
        <w:rPr>
          <w:rFonts w:ascii="Arial" w:hAnsi="Arial" w:cs="Arial"/>
        </w:rPr>
        <w:tab/>
      </w:r>
      <w:r>
        <w:rPr>
          <w:rFonts w:ascii="Arial" w:hAnsi="Arial" w:cs="Arial"/>
        </w:rPr>
        <w:t>+420 601 235 673</w:t>
      </w:r>
    </w:p>
    <w:p w14:paraId="0E411952" w14:textId="77777777" w:rsidR="00895636" w:rsidRPr="00B8331F" w:rsidRDefault="00895636" w:rsidP="00895636">
      <w:pPr>
        <w:ind w:left="357"/>
        <w:jc w:val="both"/>
        <w:rPr>
          <w:rFonts w:ascii="Arial" w:hAnsi="Arial" w:cs="Arial"/>
        </w:rPr>
      </w:pPr>
      <w:r w:rsidRPr="00B8331F">
        <w:rPr>
          <w:rFonts w:ascii="Arial" w:hAnsi="Arial" w:cs="Arial"/>
        </w:rPr>
        <w:t>Email:</w:t>
      </w:r>
      <w:r w:rsidRPr="00B8331F">
        <w:rPr>
          <w:rFonts w:ascii="Arial" w:hAnsi="Arial" w:cs="Arial"/>
        </w:rPr>
        <w:tab/>
      </w:r>
      <w:r w:rsidRPr="00B8331F">
        <w:rPr>
          <w:rFonts w:ascii="Arial" w:hAnsi="Arial" w:cs="Arial"/>
        </w:rPr>
        <w:tab/>
      </w:r>
      <w:r>
        <w:rPr>
          <w:rFonts w:ascii="Arial" w:hAnsi="Arial" w:cs="Arial"/>
        </w:rPr>
        <w:t>roznovsky@pmo.cz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42CDABA"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895636">
        <w:rPr>
          <w:rFonts w:ascii="Arial" w:hAnsi="Arial" w:cs="Arial"/>
        </w:rPr>
        <w:t>zadávacího řízení</w:t>
      </w:r>
      <w:r w:rsidRPr="00895636">
        <w:rPr>
          <w:rFonts w:ascii="Arial" w:hAnsi="Arial" w:cs="Arial"/>
        </w:rPr>
        <w:t xml:space="preserve"> podlimitní veřejné zakázky na </w:t>
      </w:r>
      <w:r w:rsidR="00F304F1" w:rsidRPr="00895636">
        <w:rPr>
          <w:rFonts w:ascii="Arial" w:hAnsi="Arial" w:cs="Arial"/>
        </w:rPr>
        <w:t xml:space="preserve">služby </w:t>
      </w:r>
      <w:r w:rsidRPr="00895636">
        <w:rPr>
          <w:rFonts w:ascii="Arial" w:hAnsi="Arial" w:cs="Arial"/>
        </w:rPr>
        <w:t>s názvem „</w:t>
      </w:r>
      <w:r w:rsidR="00895636" w:rsidRPr="00895636">
        <w:rPr>
          <w:rFonts w:ascii="Arial" w:hAnsi="Arial" w:cs="Arial"/>
        </w:rPr>
        <w:t>Jez a MVE</w:t>
      </w:r>
      <w:r w:rsidR="00895636">
        <w:rPr>
          <w:rFonts w:ascii="Arial" w:hAnsi="Arial" w:cs="Arial"/>
        </w:rPr>
        <w:t xml:space="preserve"> Maloměřice </w:t>
      </w:r>
      <w:r w:rsidR="00FB72BA">
        <w:rPr>
          <w:rFonts w:ascii="Arial" w:hAnsi="Arial" w:cs="Arial"/>
        </w:rPr>
        <w:t>–</w:t>
      </w:r>
      <w:r w:rsidR="00895636">
        <w:rPr>
          <w:rFonts w:ascii="Arial" w:hAnsi="Arial" w:cs="Arial"/>
        </w:rPr>
        <w:t xml:space="preserve"> </w:t>
      </w:r>
      <w:r w:rsidR="00FB72BA">
        <w:rPr>
          <w:rFonts w:ascii="Arial" w:hAnsi="Arial" w:cs="Arial"/>
        </w:rPr>
        <w:t>projektová dokumentace</w:t>
      </w:r>
      <w:r w:rsidRPr="00DD5497">
        <w:rPr>
          <w:rFonts w:ascii="Arial" w:hAnsi="Arial" w:cs="Arial"/>
        </w:rPr>
        <w:t>“</w:t>
      </w:r>
      <w:r w:rsidR="00DD5497">
        <w:rPr>
          <w:rFonts w:ascii="Arial" w:hAnsi="Arial" w:cs="Arial"/>
        </w:rPr>
        <w:t>, (dále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98B28A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895636" w:rsidRPr="000A7E79">
        <w:rPr>
          <w:rFonts w:ascii="Arial" w:hAnsi="Arial" w:cs="Arial"/>
        </w:rPr>
        <w:t>„</w:t>
      </w:r>
      <w:r w:rsidR="00895636">
        <w:rPr>
          <w:rFonts w:ascii="Arial" w:hAnsi="Arial" w:cs="Arial"/>
        </w:rPr>
        <w:t>Jez a MVE Maloměřice</w:t>
      </w:r>
      <w:r w:rsidR="00895636" w:rsidRPr="000A7E79">
        <w:rPr>
          <w:rFonts w:ascii="Arial" w:hAnsi="Arial" w:cs="Arial"/>
        </w:rPr>
        <w:t xml:space="preserve">“ </w:t>
      </w:r>
      <w:r w:rsidR="000A7E79" w:rsidRPr="000A7E79">
        <w:rPr>
          <w:rFonts w:ascii="Arial" w:hAnsi="Arial" w:cs="Arial"/>
        </w:rPr>
        <w:t>(dále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4E8B6D53" w:rsidR="00EE3BB7" w:rsidRDefault="00895636" w:rsidP="000A3646">
      <w:pPr>
        <w:tabs>
          <w:tab w:val="left" w:pos="0"/>
        </w:tabs>
        <w:ind w:left="425"/>
        <w:jc w:val="center"/>
        <w:rPr>
          <w:rFonts w:ascii="Arial" w:hAnsi="Arial" w:cs="Arial"/>
          <w:b/>
        </w:rPr>
      </w:pPr>
      <w:r w:rsidRPr="000A3646">
        <w:rPr>
          <w:rFonts w:ascii="Arial" w:hAnsi="Arial" w:cs="Arial"/>
          <w:b/>
        </w:rPr>
        <w:t>„</w:t>
      </w:r>
      <w:r>
        <w:rPr>
          <w:rFonts w:ascii="Arial" w:hAnsi="Arial" w:cs="Arial"/>
          <w:b/>
        </w:rPr>
        <w:t>Jez a MVE Maloměřice</w:t>
      </w:r>
      <w:r w:rsidR="00FB72BA">
        <w:rPr>
          <w:rFonts w:ascii="Arial" w:hAnsi="Arial" w:cs="Arial"/>
          <w:b/>
        </w:rPr>
        <w:t xml:space="preserve">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36B6352D" w14:textId="714C9151" w:rsidR="007F7A46" w:rsidRDefault="003B34D5" w:rsidP="004633BC">
      <w:pPr>
        <w:numPr>
          <w:ilvl w:val="1"/>
          <w:numId w:val="5"/>
        </w:numPr>
        <w:tabs>
          <w:tab w:val="left" w:pos="0"/>
        </w:tabs>
        <w:ind w:left="782" w:hanging="357"/>
        <w:jc w:val="both"/>
        <w:rPr>
          <w:rFonts w:ascii="Arial" w:hAnsi="Arial" w:cs="Arial"/>
        </w:rPr>
      </w:pPr>
      <w:r>
        <w:rPr>
          <w:rFonts w:ascii="Arial" w:hAnsi="Arial" w:cs="Arial"/>
        </w:rPr>
        <w:t>vizualizace Stavby v rozsahu zadávací dokumentace Veřejné zakázky (dále jen „Vizualizace“);</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CEDF2D"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Default="00AB4029" w:rsidP="00A80260">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tj.:</w:t>
      </w:r>
    </w:p>
    <w:p w14:paraId="4799DAD9" w14:textId="039D9115" w:rsidR="00AB4029" w:rsidRDefault="003B34D5"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Vizualizace</w:t>
      </w:r>
      <w:r w:rsidR="00AB4029">
        <w:rPr>
          <w:rFonts w:ascii="Arial" w:hAnsi="Arial" w:cs="Arial"/>
          <w:lang w:eastAsia="cs-CZ"/>
        </w:rPr>
        <w:t xml:space="preserve"> bud</w:t>
      </w:r>
      <w:r>
        <w:rPr>
          <w:rFonts w:ascii="Arial" w:hAnsi="Arial" w:cs="Arial"/>
          <w:lang w:eastAsia="cs-CZ"/>
        </w:rPr>
        <w:t>ou</w:t>
      </w:r>
      <w:r w:rsidR="00AB4029">
        <w:rPr>
          <w:rFonts w:ascii="Arial" w:hAnsi="Arial" w:cs="Arial"/>
          <w:lang w:eastAsia="cs-CZ"/>
        </w:rPr>
        <w:t xml:space="preserve"> v souladu s podklady a pokyny od Objednatele;</w:t>
      </w:r>
    </w:p>
    <w:p w14:paraId="73D2FA6E" w14:textId="7EB4BAE5" w:rsidR="00AB4029" w:rsidRPr="006901F1"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DPS bude v souladu s </w:t>
      </w:r>
      <w:r w:rsidRPr="00CF2828">
        <w:rPr>
          <w:rFonts w:ascii="Arial" w:hAnsi="Arial" w:cs="Arial"/>
          <w:lang w:eastAsia="cs-CZ"/>
        </w:rPr>
        <w:t>DSP</w:t>
      </w:r>
      <w:r w:rsidRPr="006901F1">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555365A"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CF2828">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CF2828">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CF2828">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425CEDE7"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lastRenderedPageBreak/>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00895636">
        <w:rPr>
          <w:rFonts w:ascii="Arial" w:hAnsi="Arial" w:cs="Arial"/>
        </w:rPr>
        <w:t xml:space="preserve"> </w:t>
      </w:r>
      <w:r w:rsidR="00895636" w:rsidRPr="000F74B6">
        <w:rPr>
          <w:rFonts w:ascii="Arial" w:hAnsi="Arial" w:cs="Arial"/>
        </w:rPr>
        <w:t>např.</w:t>
      </w:r>
      <w:r w:rsidRPr="000F74B6">
        <w:rPr>
          <w:rFonts w:ascii="Arial" w:hAnsi="Arial" w:cs="Arial"/>
        </w:rPr>
        <w:t xml:space="preserve"> betonových zdí</w:t>
      </w:r>
      <w:r w:rsidR="00921764" w:rsidRPr="000F74B6">
        <w:rPr>
          <w:rFonts w:ascii="Arial" w:hAnsi="Arial" w:cs="Arial"/>
        </w:rPr>
        <w:t xml:space="preserve">, </w:t>
      </w:r>
      <w:proofErr w:type="spellStart"/>
      <w:r w:rsidR="00921764" w:rsidRPr="000F74B6">
        <w:rPr>
          <w:rFonts w:ascii="Arial" w:hAnsi="Arial" w:cs="Arial"/>
        </w:rPr>
        <w:t>larsenových</w:t>
      </w:r>
      <w:proofErr w:type="spellEnd"/>
      <w:r w:rsidR="00921764" w:rsidRPr="000F74B6">
        <w:rPr>
          <w:rFonts w:ascii="Arial" w:hAnsi="Arial" w:cs="Arial"/>
        </w:rPr>
        <w:t xml:space="preserve"> stěn a </w:t>
      </w:r>
      <w:proofErr w:type="spellStart"/>
      <w:r w:rsidR="00921764" w:rsidRPr="000F74B6">
        <w:rPr>
          <w:rFonts w:ascii="Arial" w:hAnsi="Arial" w:cs="Arial"/>
        </w:rPr>
        <w:t>protivztlakových</w:t>
      </w:r>
      <w:proofErr w:type="spellEnd"/>
      <w:r w:rsidR="00921764" w:rsidRPr="000F74B6">
        <w:rPr>
          <w:rFonts w:ascii="Arial" w:hAnsi="Arial" w:cs="Arial"/>
        </w:rPr>
        <w:t xml:space="preserve"> studní</w:t>
      </w:r>
      <w:r w:rsidRPr="000F74B6">
        <w:rPr>
          <w:rFonts w:ascii="Arial" w:hAnsi="Arial" w:cs="Arial"/>
        </w:rPr>
        <w:t>,</w:t>
      </w:r>
      <w:r w:rsidRPr="00895636">
        <w:rPr>
          <w:rFonts w:ascii="Arial" w:hAnsi="Arial" w:cs="Arial"/>
        </w:rPr>
        <w:t xml:space="preserve"> včetně způsobu jeho kontroly. </w:t>
      </w:r>
      <w:r w:rsidR="007223BC" w:rsidRPr="00895636">
        <w:rPr>
          <w:rFonts w:ascii="Arial" w:hAnsi="Arial" w:cs="Arial"/>
        </w:rPr>
        <w:t>DPS</w:t>
      </w:r>
      <w:r w:rsidRPr="00D51587">
        <w:rPr>
          <w:rFonts w:ascii="Arial" w:hAnsi="Arial" w:cs="Arial"/>
        </w:rPr>
        <w:t xml:space="preserve"> bude dále obsahovat aktualizaci harmonogramu provádění prací a zásad organizace výstavby</w:t>
      </w:r>
      <w:r w:rsidR="001B110F" w:rsidRPr="00524F13">
        <w:rPr>
          <w:rFonts w:ascii="Arial" w:hAnsi="Arial" w:cs="Arial"/>
        </w:rPr>
        <w:t xml:space="preserve"> (ZOV)</w:t>
      </w:r>
      <w:r w:rsidRPr="00524F13">
        <w:rPr>
          <w:rFonts w:ascii="Arial" w:hAnsi="Arial" w:cs="Arial"/>
        </w:rPr>
        <w:t>.</w:t>
      </w:r>
      <w:r w:rsidR="001B110F" w:rsidRPr="00524F13">
        <w:rPr>
          <w:rFonts w:ascii="Arial" w:hAnsi="Arial" w:cs="Arial"/>
        </w:rPr>
        <w:t xml:space="preserve"> </w:t>
      </w:r>
      <w:r w:rsidR="001B110F" w:rsidRPr="000F74B6">
        <w:rPr>
          <w:rFonts w:ascii="Arial" w:hAnsi="Arial" w:cs="Arial"/>
        </w:rPr>
        <w:t>V rámci DPS Zhotovitel uvede počet ochráněných obyvatel a hodnotu ochráněného majetku.</w:t>
      </w:r>
      <w:r w:rsidRPr="009373BE">
        <w:rPr>
          <w:rFonts w:ascii="Arial" w:hAnsi="Arial" w:cs="Arial"/>
        </w:rPr>
        <w:t xml:space="preserve"> </w:t>
      </w:r>
      <w:r w:rsidR="007223BC" w:rsidRPr="00921764">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895636">
        <w:rPr>
          <w:rFonts w:ascii="Arial" w:hAnsi="Arial" w:cs="Arial"/>
        </w:rPr>
        <w:t>.</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7D0DF537" w14:textId="7D4226B2" w:rsidR="005340E7" w:rsidRDefault="00AF0D70" w:rsidP="005340E7">
      <w:pPr>
        <w:numPr>
          <w:ilvl w:val="0"/>
          <w:numId w:val="16"/>
        </w:numPr>
        <w:tabs>
          <w:tab w:val="left" w:pos="0"/>
        </w:tabs>
        <w:ind w:left="782" w:hanging="357"/>
        <w:jc w:val="both"/>
        <w:rPr>
          <w:rFonts w:ascii="Arial" w:hAnsi="Arial" w:cs="Arial"/>
        </w:rPr>
      </w:pPr>
      <w:r>
        <w:rPr>
          <w:rFonts w:ascii="Arial" w:hAnsi="Arial" w:cs="Arial"/>
        </w:rPr>
        <w:t>inženýrsko-</w:t>
      </w:r>
      <w:r w:rsidRPr="00895636">
        <w:rPr>
          <w:rFonts w:ascii="Arial" w:hAnsi="Arial" w:cs="Arial"/>
        </w:rPr>
        <w:t>geologický průzkum (</w:t>
      </w:r>
      <w:r w:rsidR="005340E7" w:rsidRPr="00895636">
        <w:rPr>
          <w:rFonts w:ascii="Arial" w:hAnsi="Arial" w:cs="Arial"/>
        </w:rPr>
        <w:t>IGP</w:t>
      </w:r>
      <w:r w:rsidRPr="00895636">
        <w:rPr>
          <w:rFonts w:ascii="Arial" w:hAnsi="Arial" w:cs="Arial"/>
        </w:rPr>
        <w:t>)</w:t>
      </w:r>
      <w:r w:rsidR="005340E7" w:rsidRPr="00895636">
        <w:rPr>
          <w:rFonts w:ascii="Arial" w:hAnsi="Arial" w:cs="Arial"/>
        </w:rPr>
        <w:t xml:space="preserve"> v rozsahu </w:t>
      </w:r>
      <w:r w:rsidR="00895636" w:rsidRPr="000F74B6">
        <w:rPr>
          <w:rFonts w:ascii="Arial" w:hAnsi="Arial" w:cs="Arial"/>
        </w:rPr>
        <w:t>určeném v investičním záměru – zadání rozsahu projekčních prací;</w:t>
      </w:r>
    </w:p>
    <w:p w14:paraId="4D0FA97C" w14:textId="1597B16B" w:rsidR="00220368" w:rsidRPr="00D03501" w:rsidRDefault="00220368" w:rsidP="005340E7">
      <w:pPr>
        <w:numPr>
          <w:ilvl w:val="0"/>
          <w:numId w:val="16"/>
        </w:numPr>
        <w:tabs>
          <w:tab w:val="left" w:pos="0"/>
        </w:tabs>
        <w:ind w:left="782" w:hanging="357"/>
        <w:jc w:val="both"/>
        <w:rPr>
          <w:rFonts w:ascii="Arial" w:hAnsi="Arial" w:cs="Arial"/>
        </w:rPr>
      </w:pPr>
      <w:r>
        <w:rPr>
          <w:rFonts w:ascii="Arial" w:hAnsi="Arial" w:cs="Arial"/>
        </w:rPr>
        <w:t>aktualizace biologického hodnocení lokality</w:t>
      </w:r>
    </w:p>
    <w:p w14:paraId="6FCD9B5A" w14:textId="1161E184" w:rsidR="00D92843" w:rsidRPr="005340E7" w:rsidRDefault="00895636" w:rsidP="005340E7">
      <w:pPr>
        <w:numPr>
          <w:ilvl w:val="0"/>
          <w:numId w:val="16"/>
        </w:numPr>
        <w:tabs>
          <w:tab w:val="left" w:pos="0"/>
        </w:tabs>
        <w:ind w:left="782" w:hanging="357"/>
        <w:jc w:val="both"/>
        <w:rPr>
          <w:rFonts w:ascii="Arial" w:hAnsi="Arial" w:cs="Arial"/>
        </w:rPr>
      </w:pPr>
      <w:r>
        <w:rPr>
          <w:rFonts w:ascii="Arial" w:hAnsi="Arial" w:cs="Arial"/>
        </w:rPr>
        <w:t xml:space="preserve">hydrotechnické posouzení v rozsahu </w:t>
      </w:r>
      <w:r w:rsidRPr="00BB4A0C">
        <w:rPr>
          <w:rFonts w:ascii="Arial" w:hAnsi="Arial" w:cs="Arial"/>
        </w:rPr>
        <w:t>určeném v investičním záměru – zadání rozsahu projekčních prací;</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88976ED" w:rsidR="00327652" w:rsidRPr="000F74B6" w:rsidRDefault="00327652" w:rsidP="004633BC">
      <w:pPr>
        <w:numPr>
          <w:ilvl w:val="0"/>
          <w:numId w:val="13"/>
        </w:numPr>
        <w:tabs>
          <w:tab w:val="left" w:pos="0"/>
        </w:tabs>
        <w:ind w:left="782" w:hanging="357"/>
        <w:jc w:val="both"/>
        <w:rPr>
          <w:rFonts w:ascii="Arial" w:hAnsi="Arial" w:cs="Arial"/>
          <w:lang w:eastAsia="cs-CZ"/>
        </w:rPr>
      </w:pPr>
      <w:r w:rsidRPr="000F74B6">
        <w:rPr>
          <w:rFonts w:ascii="Arial" w:hAnsi="Arial" w:cs="Arial"/>
          <w:lang w:eastAsia="cs-CZ"/>
        </w:rPr>
        <w:t>Investiční zámě</w:t>
      </w:r>
      <w:r w:rsidR="00AB4029" w:rsidRPr="000F74B6">
        <w:rPr>
          <w:rFonts w:ascii="Arial" w:hAnsi="Arial" w:cs="Arial"/>
          <w:lang w:eastAsia="cs-CZ"/>
        </w:rPr>
        <w:t>r</w:t>
      </w:r>
      <w:r w:rsidR="00895636" w:rsidRPr="000F74B6">
        <w:rPr>
          <w:rFonts w:ascii="Arial" w:hAnsi="Arial" w:cs="Arial"/>
          <w:lang w:eastAsia="cs-CZ"/>
        </w:rPr>
        <w:t xml:space="preserve"> – zadání rozsahu projekčních prací</w:t>
      </w:r>
      <w:r w:rsidR="00AB4029" w:rsidRPr="000F74B6">
        <w:rPr>
          <w:rFonts w:ascii="Arial" w:hAnsi="Arial" w:cs="Arial"/>
          <w:lang w:eastAsia="cs-CZ"/>
        </w:rPr>
        <w:t>;</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lastRenderedPageBreak/>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B294862"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lastRenderedPageBreak/>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2636E83B" w:rsidR="0078254F" w:rsidRDefault="00EB3E89" w:rsidP="00E676DF">
            <w:pPr>
              <w:jc w:val="both"/>
              <w:rPr>
                <w:rFonts w:ascii="Arial" w:hAnsi="Arial" w:cs="Arial"/>
              </w:rPr>
            </w:pPr>
            <w:r>
              <w:rPr>
                <w:rFonts w:ascii="Arial" w:hAnsi="Arial" w:cs="Arial"/>
              </w:rPr>
              <w:t>termín zahájení provádění DSP</w:t>
            </w:r>
            <w:r w:rsidR="009A26D6">
              <w:rPr>
                <w:rFonts w:ascii="Arial" w:hAnsi="Arial" w:cs="Arial"/>
              </w:rPr>
              <w:t xml:space="preserve"> a plánu BOZP</w:t>
            </w:r>
          </w:p>
        </w:tc>
        <w:tc>
          <w:tcPr>
            <w:tcW w:w="4603" w:type="dxa"/>
          </w:tcPr>
          <w:p w14:paraId="486632FF" w14:textId="6C8722FB" w:rsidR="0078254F" w:rsidRDefault="00EB3E89" w:rsidP="00E676DF">
            <w:pPr>
              <w:jc w:val="both"/>
              <w:rPr>
                <w:rFonts w:ascii="Arial" w:hAnsi="Arial" w:cs="Arial"/>
              </w:rPr>
            </w:pPr>
            <w:r w:rsidRPr="004F44E0">
              <w:rPr>
                <w:rFonts w:ascii="Arial" w:hAnsi="Arial" w:cs="Arial"/>
              </w:rPr>
              <w:t xml:space="preserve">do </w:t>
            </w:r>
            <w:r w:rsidRPr="000F74B6">
              <w:rPr>
                <w:rFonts w:ascii="Arial" w:hAnsi="Arial" w:cs="Arial"/>
              </w:rPr>
              <w:t>5</w:t>
            </w:r>
            <w:r w:rsidRPr="004F44E0">
              <w:rPr>
                <w:rFonts w:ascii="Arial" w:hAnsi="Arial" w:cs="Arial"/>
              </w:rPr>
              <w:t xml:space="preserve"> 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78254F" w14:paraId="16CCF00B" w14:textId="77777777" w:rsidTr="0078254F">
        <w:tc>
          <w:tcPr>
            <w:tcW w:w="4602" w:type="dxa"/>
          </w:tcPr>
          <w:p w14:paraId="2CDC6D58" w14:textId="665B6AB8"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w:t>
            </w:r>
            <w:r w:rsidR="009A26D6">
              <w:rPr>
                <w:rFonts w:ascii="Arial" w:hAnsi="Arial" w:cs="Arial"/>
              </w:rPr>
              <w:t xml:space="preserve"> a plánu BOZP</w:t>
            </w:r>
          </w:p>
        </w:tc>
        <w:tc>
          <w:tcPr>
            <w:tcW w:w="4603" w:type="dxa"/>
          </w:tcPr>
          <w:p w14:paraId="1F5B90C1" w14:textId="4A0B2806" w:rsidR="0078254F" w:rsidRDefault="00EB3E89" w:rsidP="00E676DF">
            <w:pPr>
              <w:jc w:val="both"/>
              <w:rPr>
                <w:rFonts w:ascii="Arial" w:hAnsi="Arial" w:cs="Arial"/>
              </w:rPr>
            </w:pPr>
            <w:r w:rsidRPr="004F44E0">
              <w:rPr>
                <w:rFonts w:ascii="Arial" w:hAnsi="Arial" w:cs="Arial"/>
              </w:rPr>
              <w:t xml:space="preserve">do </w:t>
            </w:r>
            <w:r w:rsidR="00220368">
              <w:rPr>
                <w:rFonts w:ascii="Arial" w:hAnsi="Arial" w:cs="Arial"/>
              </w:rPr>
              <w:t>3</w:t>
            </w:r>
            <w:r w:rsidR="00B64A53">
              <w:rPr>
                <w:rFonts w:ascii="Arial" w:hAnsi="Arial" w:cs="Arial"/>
              </w:rPr>
              <w:t>2</w:t>
            </w:r>
            <w:r w:rsidR="00220368">
              <w:rPr>
                <w:rFonts w:ascii="Arial" w:hAnsi="Arial" w:cs="Arial"/>
              </w:rPr>
              <w:t xml:space="preserve">0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p>
        </w:tc>
      </w:tr>
      <w:tr w:rsidR="0078254F" w14:paraId="049AC2C5" w14:textId="77777777" w:rsidTr="0078254F">
        <w:tc>
          <w:tcPr>
            <w:tcW w:w="4602" w:type="dxa"/>
          </w:tcPr>
          <w:p w14:paraId="4F2184C0" w14:textId="4300F184"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w:t>
            </w:r>
            <w:r w:rsidR="002A37C3">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3E0D3BC7" w:rsidR="0078254F" w:rsidRDefault="00EB3E89" w:rsidP="00E676DF">
            <w:pPr>
              <w:jc w:val="both"/>
              <w:rPr>
                <w:rFonts w:ascii="Arial" w:hAnsi="Arial" w:cs="Arial"/>
              </w:rPr>
            </w:pPr>
            <w:r w:rsidRPr="004F44E0">
              <w:rPr>
                <w:rFonts w:ascii="Arial" w:hAnsi="Arial" w:cs="Arial"/>
              </w:rPr>
              <w:t xml:space="preserve">do </w:t>
            </w:r>
            <w:r w:rsidR="00220368">
              <w:rPr>
                <w:rFonts w:ascii="Arial" w:hAnsi="Arial" w:cs="Arial"/>
              </w:rPr>
              <w:t>90</w:t>
            </w:r>
            <w:r w:rsidR="00220368" w:rsidRPr="004F44E0">
              <w:rPr>
                <w:rFonts w:ascii="Arial" w:hAnsi="Arial" w:cs="Arial"/>
              </w:rPr>
              <w:t xml:space="preserve"> </w:t>
            </w:r>
            <w:r w:rsidRPr="004F44E0">
              <w:rPr>
                <w:rFonts w:ascii="Arial" w:hAnsi="Arial" w:cs="Arial"/>
              </w:rPr>
              <w:t xml:space="preserve">dnů ode dne </w:t>
            </w:r>
            <w:r>
              <w:rPr>
                <w:rFonts w:ascii="Arial" w:hAnsi="Arial" w:cs="Arial"/>
              </w:rPr>
              <w:t>předání</w:t>
            </w:r>
            <w:r w:rsidRPr="004F44E0">
              <w:rPr>
                <w:rFonts w:ascii="Arial" w:hAnsi="Arial" w:cs="Arial"/>
              </w:rPr>
              <w:t xml:space="preserve"> </w:t>
            </w:r>
            <w:r>
              <w:rPr>
                <w:rFonts w:ascii="Arial" w:hAnsi="Arial" w:cs="Arial"/>
              </w:rPr>
              <w:t>DSP</w:t>
            </w:r>
          </w:p>
        </w:tc>
      </w:tr>
      <w:tr w:rsidR="0078254F" w14:paraId="12FE51A1" w14:textId="77777777" w:rsidTr="0078254F">
        <w:tc>
          <w:tcPr>
            <w:tcW w:w="4602" w:type="dxa"/>
          </w:tcPr>
          <w:p w14:paraId="74F483A2" w14:textId="209689CE" w:rsidR="0078254F" w:rsidRDefault="00EB3E89" w:rsidP="00E676DF">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603" w:type="dxa"/>
          </w:tcPr>
          <w:p w14:paraId="636ACB18" w14:textId="3B4A2AE4" w:rsidR="0078254F" w:rsidRDefault="00EB3E89" w:rsidP="00E676DF">
            <w:pPr>
              <w:tabs>
                <w:tab w:val="left" w:pos="0"/>
              </w:tabs>
              <w:jc w:val="both"/>
              <w:rPr>
                <w:rFonts w:ascii="Arial" w:hAnsi="Arial" w:cs="Arial"/>
              </w:rPr>
            </w:pPr>
            <w:r w:rsidRPr="004F44E0">
              <w:rPr>
                <w:rFonts w:ascii="Arial" w:hAnsi="Arial" w:cs="Arial"/>
              </w:rPr>
              <w:t xml:space="preserve">do </w:t>
            </w:r>
            <w:r w:rsidRPr="000F74B6">
              <w:rPr>
                <w:rFonts w:ascii="Arial" w:hAnsi="Arial" w:cs="Arial"/>
              </w:rPr>
              <w:t>5</w:t>
            </w:r>
            <w:r w:rsidRPr="004F44E0">
              <w:rPr>
                <w:rFonts w:ascii="Arial" w:hAnsi="Arial" w:cs="Arial"/>
              </w:rPr>
              <w:t xml:space="preserve"> dnů ode dne </w:t>
            </w:r>
            <w:r>
              <w:rPr>
                <w:rFonts w:ascii="Arial" w:hAnsi="Arial" w:cs="Arial"/>
              </w:rPr>
              <w:t xml:space="preserve">právní moci </w:t>
            </w:r>
            <w:r w:rsidR="00E676DF">
              <w:rPr>
                <w:rFonts w:ascii="Arial" w:hAnsi="Arial" w:cs="Arial"/>
              </w:rPr>
              <w:t>p</w:t>
            </w:r>
            <w:r>
              <w:rPr>
                <w:rFonts w:ascii="Arial" w:hAnsi="Arial" w:cs="Arial"/>
              </w:rPr>
              <w:t>ovolení</w:t>
            </w:r>
            <w:r w:rsidR="008C19EE">
              <w:rPr>
                <w:rFonts w:ascii="Arial" w:hAnsi="Arial" w:cs="Arial"/>
              </w:rPr>
              <w:t xml:space="preserve"> záměru</w:t>
            </w:r>
          </w:p>
        </w:tc>
      </w:tr>
      <w:tr w:rsidR="0078254F" w14:paraId="5C4F022D" w14:textId="77777777" w:rsidTr="0078254F">
        <w:tc>
          <w:tcPr>
            <w:tcW w:w="4602" w:type="dxa"/>
          </w:tcPr>
          <w:p w14:paraId="418E5545" w14:textId="65B74FAF"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12C579A" w:rsidR="0078254F" w:rsidRDefault="00EB3E89" w:rsidP="00E676DF">
            <w:pPr>
              <w:jc w:val="both"/>
              <w:rPr>
                <w:rFonts w:ascii="Arial" w:hAnsi="Arial" w:cs="Arial"/>
              </w:rPr>
            </w:pPr>
            <w:r w:rsidRPr="004F44E0">
              <w:rPr>
                <w:rFonts w:ascii="Arial" w:hAnsi="Arial" w:cs="Arial"/>
              </w:rPr>
              <w:t xml:space="preserve">do </w:t>
            </w:r>
            <w:r w:rsidR="00B64A53">
              <w:rPr>
                <w:rFonts w:ascii="Arial" w:hAnsi="Arial" w:cs="Arial"/>
              </w:rPr>
              <w:t>20</w:t>
            </w:r>
            <w:r w:rsidR="00220368">
              <w:rPr>
                <w:rFonts w:ascii="Arial" w:hAnsi="Arial" w:cs="Arial"/>
              </w:rPr>
              <w:t>0</w:t>
            </w:r>
            <w:r w:rsidR="00220368" w:rsidRPr="004F44E0">
              <w:rPr>
                <w:rFonts w:ascii="Arial" w:hAnsi="Arial" w:cs="Arial"/>
              </w:rPr>
              <w:t xml:space="preserve">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3823"/>
        <w:gridCol w:w="1842"/>
        <w:gridCol w:w="1701"/>
        <w:gridCol w:w="1839"/>
      </w:tblGrid>
      <w:tr w:rsidR="00E94D54" w:rsidRPr="00915206" w14:paraId="7C6B4699" w14:textId="77777777" w:rsidTr="00E94D54">
        <w:trPr>
          <w:trHeight w:val="525"/>
        </w:trPr>
        <w:tc>
          <w:tcPr>
            <w:tcW w:w="3823" w:type="dxa"/>
            <w:hideMark/>
          </w:tcPr>
          <w:p w14:paraId="7AA9F10B" w14:textId="77777777" w:rsidR="00E94D54" w:rsidRPr="00915206" w:rsidRDefault="00E94D54" w:rsidP="00BB4A0C">
            <w:pPr>
              <w:suppressAutoHyphens w:val="0"/>
              <w:jc w:val="center"/>
              <w:rPr>
                <w:rFonts w:ascii="Arial" w:hAnsi="Arial" w:cs="Arial"/>
                <w:b/>
                <w:bCs/>
                <w:color w:val="000000"/>
                <w:lang w:eastAsia="cs-CZ"/>
              </w:rPr>
            </w:pPr>
            <w:bookmarkStart w:id="4" w:name="_Hlk206481955"/>
            <w:r w:rsidRPr="00915206">
              <w:rPr>
                <w:rFonts w:ascii="Arial" w:hAnsi="Arial" w:cs="Arial"/>
                <w:b/>
                <w:bCs/>
                <w:color w:val="000000"/>
                <w:lang w:eastAsia="cs-CZ"/>
              </w:rPr>
              <w:t>Část Díla</w:t>
            </w:r>
          </w:p>
        </w:tc>
        <w:tc>
          <w:tcPr>
            <w:tcW w:w="1842" w:type="dxa"/>
            <w:hideMark/>
          </w:tcPr>
          <w:p w14:paraId="6491287B" w14:textId="77777777" w:rsidR="00E94D54" w:rsidRPr="00915206" w:rsidRDefault="00E94D54" w:rsidP="00BB4A0C">
            <w:pPr>
              <w:suppressAutoHyphens w:val="0"/>
              <w:jc w:val="center"/>
              <w:rPr>
                <w:rFonts w:ascii="Arial" w:hAnsi="Arial" w:cs="Arial"/>
                <w:b/>
                <w:bCs/>
                <w:color w:val="000000"/>
                <w:lang w:eastAsia="cs-CZ"/>
              </w:rPr>
            </w:pPr>
            <w:r w:rsidRPr="00915206">
              <w:rPr>
                <w:rFonts w:ascii="Arial" w:hAnsi="Arial" w:cs="Arial"/>
                <w:b/>
                <w:bCs/>
                <w:color w:val="000000"/>
                <w:lang w:eastAsia="cs-CZ"/>
              </w:rPr>
              <w:t>Cena bez DPH</w:t>
            </w:r>
          </w:p>
        </w:tc>
        <w:tc>
          <w:tcPr>
            <w:tcW w:w="1701" w:type="dxa"/>
            <w:hideMark/>
          </w:tcPr>
          <w:p w14:paraId="2FCAEFB2" w14:textId="77777777" w:rsidR="00E94D54" w:rsidRPr="00915206" w:rsidRDefault="00E94D54" w:rsidP="00BB4A0C">
            <w:pPr>
              <w:suppressAutoHyphens w:val="0"/>
              <w:jc w:val="center"/>
              <w:rPr>
                <w:rFonts w:ascii="Arial" w:hAnsi="Arial" w:cs="Arial"/>
                <w:b/>
                <w:bCs/>
                <w:color w:val="000000"/>
                <w:lang w:eastAsia="cs-CZ"/>
              </w:rPr>
            </w:pPr>
            <w:r w:rsidRPr="00915206">
              <w:rPr>
                <w:rFonts w:ascii="Arial" w:hAnsi="Arial" w:cs="Arial"/>
                <w:b/>
                <w:bCs/>
                <w:color w:val="000000"/>
                <w:lang w:eastAsia="cs-CZ"/>
              </w:rPr>
              <w:t>DPH</w:t>
            </w:r>
          </w:p>
        </w:tc>
        <w:tc>
          <w:tcPr>
            <w:tcW w:w="1839" w:type="dxa"/>
            <w:hideMark/>
          </w:tcPr>
          <w:p w14:paraId="175A408E" w14:textId="77777777" w:rsidR="00E94D54" w:rsidRPr="00915206" w:rsidRDefault="00E94D54" w:rsidP="00BB4A0C">
            <w:pPr>
              <w:suppressAutoHyphens w:val="0"/>
              <w:jc w:val="center"/>
              <w:rPr>
                <w:rFonts w:ascii="Arial" w:hAnsi="Arial" w:cs="Arial"/>
                <w:b/>
                <w:bCs/>
                <w:color w:val="000000"/>
                <w:lang w:eastAsia="cs-CZ"/>
              </w:rPr>
            </w:pPr>
            <w:r w:rsidRPr="00915206">
              <w:rPr>
                <w:rFonts w:ascii="Arial" w:hAnsi="Arial" w:cs="Arial"/>
                <w:b/>
                <w:bCs/>
                <w:color w:val="000000"/>
                <w:lang w:eastAsia="cs-CZ"/>
              </w:rPr>
              <w:t>Cena vč. DPH</w:t>
            </w:r>
          </w:p>
        </w:tc>
      </w:tr>
      <w:tr w:rsidR="00E94D54" w:rsidRPr="00915206" w14:paraId="0E65A27D" w14:textId="77777777" w:rsidTr="000F74B6">
        <w:trPr>
          <w:trHeight w:val="289"/>
        </w:trPr>
        <w:tc>
          <w:tcPr>
            <w:tcW w:w="3823" w:type="dxa"/>
            <w:noWrap/>
            <w:hideMark/>
          </w:tcPr>
          <w:p w14:paraId="3A805292" w14:textId="70A1103E" w:rsidR="00E94D54" w:rsidRPr="00915206" w:rsidRDefault="00E94D54" w:rsidP="00BB4A0C">
            <w:pPr>
              <w:suppressAutoHyphens w:val="0"/>
              <w:jc w:val="both"/>
              <w:rPr>
                <w:rFonts w:ascii="Arial" w:hAnsi="Arial" w:cs="Arial"/>
                <w:color w:val="000000"/>
                <w:lang w:eastAsia="cs-CZ"/>
              </w:rPr>
            </w:pPr>
            <w:r>
              <w:rPr>
                <w:rFonts w:ascii="Arial" w:hAnsi="Arial" w:cs="Arial"/>
                <w:color w:val="000000"/>
                <w:lang w:eastAsia="cs-CZ"/>
              </w:rPr>
              <w:t>Hydrologické podklady</w:t>
            </w:r>
          </w:p>
        </w:tc>
        <w:tc>
          <w:tcPr>
            <w:tcW w:w="1842" w:type="dxa"/>
            <w:hideMark/>
          </w:tcPr>
          <w:p w14:paraId="67EC6F99" w14:textId="77777777" w:rsidR="00E94D54" w:rsidRPr="00915206" w:rsidRDefault="00E94D54" w:rsidP="00BB4A0C">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1701" w:type="dxa"/>
            <w:hideMark/>
          </w:tcPr>
          <w:p w14:paraId="74822223" w14:textId="77777777" w:rsidR="00E94D54" w:rsidRPr="00915206" w:rsidRDefault="00E94D54" w:rsidP="00BB4A0C">
            <w:pPr>
              <w:suppressAutoHyphens w:val="0"/>
              <w:rPr>
                <w:rFonts w:ascii="Arial" w:hAnsi="Arial" w:cs="Arial"/>
                <w:color w:val="000000"/>
                <w:lang w:eastAsia="cs-CZ"/>
              </w:rPr>
            </w:pPr>
            <w:r w:rsidRPr="00915206">
              <w:rPr>
                <w:rFonts w:ascii="Arial" w:hAnsi="Arial" w:cs="Arial"/>
                <w:color w:val="000000"/>
                <w:lang w:eastAsia="cs-CZ"/>
              </w:rPr>
              <w:t> </w:t>
            </w:r>
          </w:p>
        </w:tc>
        <w:tc>
          <w:tcPr>
            <w:tcW w:w="1839" w:type="dxa"/>
            <w:hideMark/>
          </w:tcPr>
          <w:p w14:paraId="3F648596" w14:textId="77777777" w:rsidR="00E94D54" w:rsidRPr="00915206" w:rsidRDefault="00E94D54" w:rsidP="00BB4A0C">
            <w:pPr>
              <w:suppressAutoHyphens w:val="0"/>
              <w:rPr>
                <w:rFonts w:ascii="Arial" w:hAnsi="Arial" w:cs="Arial"/>
                <w:color w:val="000000"/>
                <w:lang w:eastAsia="cs-CZ"/>
              </w:rPr>
            </w:pPr>
            <w:r w:rsidRPr="00915206">
              <w:rPr>
                <w:rFonts w:ascii="Arial" w:hAnsi="Arial" w:cs="Arial"/>
                <w:color w:val="000000"/>
                <w:lang w:eastAsia="cs-CZ"/>
              </w:rPr>
              <w:t> </w:t>
            </w:r>
          </w:p>
        </w:tc>
      </w:tr>
      <w:tr w:rsidR="00E94D54" w:rsidRPr="00915206" w14:paraId="7ABEEC24" w14:textId="77777777" w:rsidTr="000F74B6">
        <w:trPr>
          <w:trHeight w:val="289"/>
        </w:trPr>
        <w:tc>
          <w:tcPr>
            <w:tcW w:w="3823" w:type="dxa"/>
            <w:noWrap/>
          </w:tcPr>
          <w:p w14:paraId="6C174476" w14:textId="1579C295" w:rsidR="00E94D54" w:rsidRPr="00915206" w:rsidRDefault="00E94D54" w:rsidP="00BB4A0C">
            <w:pPr>
              <w:suppressAutoHyphens w:val="0"/>
              <w:jc w:val="both"/>
              <w:rPr>
                <w:rFonts w:ascii="Arial" w:hAnsi="Arial" w:cs="Arial"/>
                <w:color w:val="000000"/>
                <w:lang w:eastAsia="cs-CZ"/>
              </w:rPr>
            </w:pPr>
            <w:r w:rsidRPr="00915206">
              <w:rPr>
                <w:rFonts w:ascii="Arial" w:eastAsia="Arial" w:hAnsi="Arial" w:cs="Arial"/>
                <w:color w:val="000000"/>
                <w:lang w:eastAsia="cs-CZ"/>
              </w:rPr>
              <w:t>Geodetické zaměření</w:t>
            </w:r>
          </w:p>
        </w:tc>
        <w:tc>
          <w:tcPr>
            <w:tcW w:w="1842" w:type="dxa"/>
            <w:hideMark/>
          </w:tcPr>
          <w:p w14:paraId="53AA65C4" w14:textId="77777777" w:rsidR="00E94D54" w:rsidRPr="00915206" w:rsidRDefault="00E94D54" w:rsidP="00BB4A0C">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1701" w:type="dxa"/>
            <w:hideMark/>
          </w:tcPr>
          <w:p w14:paraId="4B0EF6A1" w14:textId="77777777" w:rsidR="00E94D54" w:rsidRPr="00915206" w:rsidRDefault="00E94D54" w:rsidP="00BB4A0C">
            <w:pPr>
              <w:suppressAutoHyphens w:val="0"/>
              <w:jc w:val="both"/>
              <w:rPr>
                <w:rFonts w:ascii="Arial" w:hAnsi="Arial" w:cs="Arial"/>
                <w:color w:val="000000"/>
                <w:lang w:eastAsia="cs-CZ"/>
              </w:rPr>
            </w:pPr>
            <w:r w:rsidRPr="00915206">
              <w:rPr>
                <w:rFonts w:ascii="Arial" w:hAnsi="Arial" w:cs="Arial"/>
                <w:color w:val="000000"/>
                <w:lang w:eastAsia="cs-CZ"/>
              </w:rPr>
              <w:t> </w:t>
            </w:r>
          </w:p>
        </w:tc>
        <w:tc>
          <w:tcPr>
            <w:tcW w:w="1839" w:type="dxa"/>
            <w:hideMark/>
          </w:tcPr>
          <w:p w14:paraId="181863F2" w14:textId="77777777" w:rsidR="00E94D54" w:rsidRPr="00915206" w:rsidRDefault="00E94D54" w:rsidP="00BB4A0C">
            <w:pPr>
              <w:suppressAutoHyphens w:val="0"/>
              <w:jc w:val="both"/>
              <w:rPr>
                <w:rFonts w:ascii="Arial" w:hAnsi="Arial" w:cs="Arial"/>
                <w:color w:val="000000"/>
                <w:lang w:eastAsia="cs-CZ"/>
              </w:rPr>
            </w:pPr>
            <w:r w:rsidRPr="00915206">
              <w:rPr>
                <w:rFonts w:ascii="Arial" w:hAnsi="Arial" w:cs="Arial"/>
                <w:color w:val="000000"/>
                <w:lang w:eastAsia="cs-CZ"/>
              </w:rPr>
              <w:t> </w:t>
            </w:r>
          </w:p>
        </w:tc>
      </w:tr>
      <w:tr w:rsidR="00E94D54" w:rsidRPr="00915206" w14:paraId="272C4064" w14:textId="77777777" w:rsidTr="000F74B6">
        <w:trPr>
          <w:trHeight w:val="289"/>
        </w:trPr>
        <w:tc>
          <w:tcPr>
            <w:tcW w:w="3823" w:type="dxa"/>
            <w:noWrap/>
            <w:hideMark/>
          </w:tcPr>
          <w:p w14:paraId="097607E2" w14:textId="7D6A9A8C" w:rsidR="00E94D54" w:rsidRPr="00915206" w:rsidRDefault="00E94D54" w:rsidP="00E94D54">
            <w:pPr>
              <w:suppressAutoHyphens w:val="0"/>
              <w:jc w:val="both"/>
              <w:rPr>
                <w:rFonts w:ascii="Arial" w:hAnsi="Arial" w:cs="Arial"/>
                <w:color w:val="000000"/>
                <w:lang w:eastAsia="cs-CZ"/>
              </w:rPr>
            </w:pPr>
            <w:r>
              <w:rPr>
                <w:rFonts w:ascii="Arial" w:eastAsia="Arial" w:hAnsi="Arial" w:cs="Arial"/>
                <w:color w:val="000000"/>
                <w:lang w:eastAsia="cs-CZ"/>
              </w:rPr>
              <w:t>I</w:t>
            </w:r>
            <w:r w:rsidRPr="00915206">
              <w:rPr>
                <w:rFonts w:ascii="Arial" w:eastAsia="Arial" w:hAnsi="Arial" w:cs="Arial"/>
                <w:color w:val="000000"/>
                <w:lang w:eastAsia="cs-CZ"/>
              </w:rPr>
              <w:t>nženýrsko-geologický průzkum (IGP)</w:t>
            </w:r>
          </w:p>
        </w:tc>
        <w:tc>
          <w:tcPr>
            <w:tcW w:w="1842" w:type="dxa"/>
            <w:hideMark/>
          </w:tcPr>
          <w:p w14:paraId="101924AC" w14:textId="77777777" w:rsidR="00E94D54" w:rsidRPr="00915206" w:rsidRDefault="00E94D54" w:rsidP="00E94D54">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1701" w:type="dxa"/>
            <w:noWrap/>
            <w:hideMark/>
          </w:tcPr>
          <w:p w14:paraId="2FA09D79"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3FC5ED45"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E94D54" w:rsidRPr="00915206" w14:paraId="60978FAB" w14:textId="77777777" w:rsidTr="000F74B6">
        <w:trPr>
          <w:trHeight w:val="289"/>
        </w:trPr>
        <w:tc>
          <w:tcPr>
            <w:tcW w:w="3823" w:type="dxa"/>
            <w:noWrap/>
          </w:tcPr>
          <w:p w14:paraId="67AF0B60" w14:textId="0FA846AC" w:rsidR="00E94D54" w:rsidRPr="00915206" w:rsidRDefault="00E94D54" w:rsidP="00E94D54">
            <w:pPr>
              <w:suppressAutoHyphens w:val="0"/>
              <w:jc w:val="both"/>
              <w:rPr>
                <w:rFonts w:ascii="Arial" w:hAnsi="Arial" w:cs="Arial"/>
                <w:color w:val="000000"/>
                <w:lang w:eastAsia="cs-CZ"/>
              </w:rPr>
            </w:pPr>
            <w:r>
              <w:rPr>
                <w:rFonts w:ascii="Arial" w:hAnsi="Arial" w:cs="Arial"/>
                <w:color w:val="000000"/>
                <w:lang w:eastAsia="cs-CZ"/>
              </w:rPr>
              <w:t>Aktualizace biologického posouzení</w:t>
            </w:r>
          </w:p>
        </w:tc>
        <w:tc>
          <w:tcPr>
            <w:tcW w:w="1842" w:type="dxa"/>
            <w:noWrap/>
            <w:hideMark/>
          </w:tcPr>
          <w:p w14:paraId="415453EB" w14:textId="77777777" w:rsidR="00E94D54" w:rsidRPr="00915206" w:rsidRDefault="00E94D54" w:rsidP="00E94D54">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5B242361"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146E253F"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E94D54" w:rsidRPr="00915206" w14:paraId="2034D472" w14:textId="77777777" w:rsidTr="00E94D54">
        <w:trPr>
          <w:trHeight w:val="289"/>
        </w:trPr>
        <w:tc>
          <w:tcPr>
            <w:tcW w:w="3823" w:type="dxa"/>
            <w:noWrap/>
          </w:tcPr>
          <w:p w14:paraId="34E88DD2" w14:textId="1D7E8217" w:rsidR="00E94D54" w:rsidRPr="00915206" w:rsidRDefault="00E94D54" w:rsidP="00E94D54">
            <w:pPr>
              <w:suppressAutoHyphens w:val="0"/>
              <w:jc w:val="both"/>
              <w:rPr>
                <w:rFonts w:ascii="Arial" w:hAnsi="Arial" w:cs="Arial"/>
                <w:color w:val="000000"/>
                <w:lang w:eastAsia="cs-CZ"/>
              </w:rPr>
            </w:pPr>
            <w:r>
              <w:rPr>
                <w:rFonts w:ascii="Arial" w:hAnsi="Arial" w:cs="Arial"/>
                <w:color w:val="000000"/>
                <w:lang w:eastAsia="cs-CZ"/>
              </w:rPr>
              <w:t>Hydrotechnické posouzení</w:t>
            </w:r>
          </w:p>
        </w:tc>
        <w:tc>
          <w:tcPr>
            <w:tcW w:w="1842" w:type="dxa"/>
            <w:noWrap/>
          </w:tcPr>
          <w:p w14:paraId="589576D2" w14:textId="77777777" w:rsidR="00E94D54" w:rsidRPr="00915206" w:rsidRDefault="00E94D54" w:rsidP="00E94D54">
            <w:pPr>
              <w:suppressAutoHyphens w:val="0"/>
              <w:jc w:val="right"/>
              <w:rPr>
                <w:rFonts w:ascii="Aptos Narrow" w:hAnsi="Aptos Narrow"/>
                <w:color w:val="000000"/>
                <w:sz w:val="22"/>
                <w:szCs w:val="22"/>
                <w:lang w:eastAsia="cs-CZ"/>
              </w:rPr>
            </w:pPr>
          </w:p>
        </w:tc>
        <w:tc>
          <w:tcPr>
            <w:tcW w:w="1701" w:type="dxa"/>
            <w:noWrap/>
          </w:tcPr>
          <w:p w14:paraId="78FC45B4" w14:textId="77777777" w:rsidR="00E94D54" w:rsidRPr="00915206" w:rsidRDefault="00E94D54" w:rsidP="00E94D54">
            <w:pPr>
              <w:suppressAutoHyphens w:val="0"/>
              <w:rPr>
                <w:rFonts w:ascii="Aptos Narrow" w:hAnsi="Aptos Narrow"/>
                <w:color w:val="000000"/>
                <w:sz w:val="22"/>
                <w:szCs w:val="22"/>
                <w:lang w:eastAsia="cs-CZ"/>
              </w:rPr>
            </w:pPr>
          </w:p>
        </w:tc>
        <w:tc>
          <w:tcPr>
            <w:tcW w:w="1839" w:type="dxa"/>
            <w:noWrap/>
          </w:tcPr>
          <w:p w14:paraId="010B0E6B" w14:textId="77777777" w:rsidR="00E94D54" w:rsidRPr="00915206" w:rsidRDefault="00E94D54" w:rsidP="00E94D54">
            <w:pPr>
              <w:suppressAutoHyphens w:val="0"/>
              <w:rPr>
                <w:rFonts w:ascii="Aptos Narrow" w:hAnsi="Aptos Narrow"/>
                <w:color w:val="000000"/>
                <w:sz w:val="22"/>
                <w:szCs w:val="22"/>
                <w:lang w:eastAsia="cs-CZ"/>
              </w:rPr>
            </w:pPr>
          </w:p>
        </w:tc>
      </w:tr>
      <w:tr w:rsidR="00E94D54" w:rsidRPr="00915206" w14:paraId="3F3BAB37" w14:textId="77777777" w:rsidTr="000F74B6">
        <w:trPr>
          <w:trHeight w:val="289"/>
        </w:trPr>
        <w:tc>
          <w:tcPr>
            <w:tcW w:w="3823" w:type="dxa"/>
            <w:hideMark/>
          </w:tcPr>
          <w:p w14:paraId="316F6C49"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Vizualizace</w:t>
            </w:r>
          </w:p>
        </w:tc>
        <w:tc>
          <w:tcPr>
            <w:tcW w:w="1842" w:type="dxa"/>
            <w:noWrap/>
            <w:hideMark/>
          </w:tcPr>
          <w:p w14:paraId="1A9A0C35" w14:textId="77777777" w:rsidR="00E94D54" w:rsidRPr="00915206" w:rsidRDefault="00E94D54" w:rsidP="00E94D54">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22D2FF02"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138DBA95"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E94D54" w:rsidRPr="00915206" w14:paraId="64906883" w14:textId="77777777" w:rsidTr="000F74B6">
        <w:trPr>
          <w:trHeight w:val="289"/>
        </w:trPr>
        <w:tc>
          <w:tcPr>
            <w:tcW w:w="3823" w:type="dxa"/>
            <w:noWrap/>
            <w:hideMark/>
          </w:tcPr>
          <w:p w14:paraId="6F242296"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Plán BOZP</w:t>
            </w:r>
          </w:p>
        </w:tc>
        <w:tc>
          <w:tcPr>
            <w:tcW w:w="1842" w:type="dxa"/>
            <w:noWrap/>
            <w:hideMark/>
          </w:tcPr>
          <w:p w14:paraId="584FCAE1" w14:textId="77777777" w:rsidR="00E94D54" w:rsidRPr="00915206" w:rsidRDefault="00E94D54" w:rsidP="00E94D54">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0826F348"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594FC6F4"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E94D54" w:rsidRPr="00915206" w14:paraId="5C13E098" w14:textId="77777777" w:rsidTr="000F74B6">
        <w:trPr>
          <w:trHeight w:val="289"/>
        </w:trPr>
        <w:tc>
          <w:tcPr>
            <w:tcW w:w="3823" w:type="dxa"/>
            <w:noWrap/>
            <w:hideMark/>
          </w:tcPr>
          <w:p w14:paraId="13065CAF"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Inženýrská činnost k DSP</w:t>
            </w:r>
          </w:p>
        </w:tc>
        <w:tc>
          <w:tcPr>
            <w:tcW w:w="1842" w:type="dxa"/>
            <w:noWrap/>
            <w:hideMark/>
          </w:tcPr>
          <w:p w14:paraId="761E590C" w14:textId="77777777" w:rsidR="00E94D54" w:rsidRPr="00915206" w:rsidRDefault="00E94D54" w:rsidP="00E94D54">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054B1966"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2D1A113B"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E94D54" w:rsidRPr="00915206" w14:paraId="52AA0A1F" w14:textId="77777777" w:rsidTr="000F74B6">
        <w:trPr>
          <w:trHeight w:val="289"/>
        </w:trPr>
        <w:tc>
          <w:tcPr>
            <w:tcW w:w="3823" w:type="dxa"/>
            <w:noWrap/>
            <w:hideMark/>
          </w:tcPr>
          <w:p w14:paraId="019C1119"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Dokumentace pro stavební povolení DSP</w:t>
            </w:r>
          </w:p>
        </w:tc>
        <w:tc>
          <w:tcPr>
            <w:tcW w:w="1842" w:type="dxa"/>
            <w:noWrap/>
            <w:hideMark/>
          </w:tcPr>
          <w:p w14:paraId="5B489272" w14:textId="77777777" w:rsidR="00E94D54" w:rsidRPr="00915206" w:rsidRDefault="00E94D54" w:rsidP="00E94D54">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0A26F942"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14350FC1"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E94D54" w:rsidRPr="00915206" w14:paraId="4EF7663D" w14:textId="77777777" w:rsidTr="000F74B6">
        <w:trPr>
          <w:trHeight w:val="289"/>
        </w:trPr>
        <w:tc>
          <w:tcPr>
            <w:tcW w:w="3823" w:type="dxa"/>
            <w:hideMark/>
          </w:tcPr>
          <w:p w14:paraId="60532B24"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Dokumentace pro provádění stavby DPS</w:t>
            </w:r>
          </w:p>
        </w:tc>
        <w:tc>
          <w:tcPr>
            <w:tcW w:w="1842" w:type="dxa"/>
            <w:noWrap/>
            <w:hideMark/>
          </w:tcPr>
          <w:p w14:paraId="71AAE2C9" w14:textId="77777777" w:rsidR="00E94D54" w:rsidRPr="00915206" w:rsidRDefault="00E94D54" w:rsidP="00E94D54">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43CB29A3"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64092C5A" w14:textId="77777777" w:rsidR="00E94D54" w:rsidRPr="00915206" w:rsidRDefault="00E94D54" w:rsidP="00E94D54">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E94D54" w:rsidRPr="00915206" w14:paraId="5C1F962D" w14:textId="77777777" w:rsidTr="000F74B6">
        <w:trPr>
          <w:trHeight w:val="289"/>
        </w:trPr>
        <w:tc>
          <w:tcPr>
            <w:tcW w:w="3823" w:type="dxa"/>
            <w:hideMark/>
          </w:tcPr>
          <w:p w14:paraId="041A216F" w14:textId="77777777" w:rsidR="00E94D54" w:rsidRPr="00915206" w:rsidRDefault="00E94D54" w:rsidP="00E94D54">
            <w:pPr>
              <w:suppressAutoHyphens w:val="0"/>
              <w:rPr>
                <w:rFonts w:ascii="Arial" w:hAnsi="Arial" w:cs="Arial"/>
                <w:color w:val="000000"/>
                <w:lang w:eastAsia="cs-CZ"/>
              </w:rPr>
            </w:pPr>
            <w:r w:rsidRPr="00915206">
              <w:rPr>
                <w:rFonts w:ascii="Arial" w:hAnsi="Arial" w:cs="Arial"/>
                <w:color w:val="000000"/>
                <w:lang w:eastAsia="cs-CZ"/>
              </w:rPr>
              <w:t>Součinnost při výběru zhotovitele Stavby</w:t>
            </w:r>
          </w:p>
        </w:tc>
        <w:tc>
          <w:tcPr>
            <w:tcW w:w="1842" w:type="dxa"/>
            <w:hideMark/>
          </w:tcPr>
          <w:p w14:paraId="798148AE" w14:textId="77777777" w:rsidR="00E94D54" w:rsidRPr="00915206" w:rsidRDefault="00E94D54" w:rsidP="00E94D54">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1701" w:type="dxa"/>
            <w:hideMark/>
          </w:tcPr>
          <w:p w14:paraId="6FCE459A"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 </w:t>
            </w:r>
          </w:p>
        </w:tc>
        <w:tc>
          <w:tcPr>
            <w:tcW w:w="1839" w:type="dxa"/>
            <w:hideMark/>
          </w:tcPr>
          <w:p w14:paraId="575111AA"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 </w:t>
            </w:r>
          </w:p>
        </w:tc>
      </w:tr>
      <w:tr w:rsidR="00E94D54" w:rsidRPr="00915206" w14:paraId="7CFFA3B3" w14:textId="77777777" w:rsidTr="000F74B6">
        <w:trPr>
          <w:trHeight w:val="289"/>
        </w:trPr>
        <w:tc>
          <w:tcPr>
            <w:tcW w:w="3823" w:type="dxa"/>
            <w:hideMark/>
          </w:tcPr>
          <w:p w14:paraId="42D11A02" w14:textId="77777777" w:rsidR="00E94D54" w:rsidRPr="00915206" w:rsidRDefault="00E94D54" w:rsidP="00E94D54">
            <w:pPr>
              <w:suppressAutoHyphens w:val="0"/>
              <w:jc w:val="both"/>
              <w:rPr>
                <w:rFonts w:ascii="Arial" w:hAnsi="Arial" w:cs="Arial"/>
                <w:b/>
                <w:bCs/>
                <w:color w:val="000000"/>
                <w:lang w:eastAsia="cs-CZ"/>
              </w:rPr>
            </w:pPr>
            <w:r w:rsidRPr="00915206">
              <w:rPr>
                <w:rFonts w:ascii="Arial" w:hAnsi="Arial" w:cs="Arial"/>
                <w:b/>
                <w:bCs/>
                <w:color w:val="000000"/>
                <w:lang w:eastAsia="cs-CZ"/>
              </w:rPr>
              <w:t>CELKEM (cena Díla)</w:t>
            </w:r>
          </w:p>
        </w:tc>
        <w:tc>
          <w:tcPr>
            <w:tcW w:w="1842" w:type="dxa"/>
            <w:hideMark/>
          </w:tcPr>
          <w:p w14:paraId="6ADF9A83" w14:textId="77777777" w:rsidR="00E94D54" w:rsidRPr="00915206" w:rsidRDefault="00E94D54" w:rsidP="00E94D54">
            <w:pPr>
              <w:suppressAutoHyphens w:val="0"/>
              <w:jc w:val="right"/>
              <w:rPr>
                <w:rFonts w:ascii="Arial" w:hAnsi="Arial" w:cs="Arial"/>
                <w:b/>
                <w:bCs/>
                <w:color w:val="000000"/>
                <w:lang w:eastAsia="cs-CZ"/>
              </w:rPr>
            </w:pPr>
            <w:r w:rsidRPr="00915206">
              <w:rPr>
                <w:rFonts w:ascii="Arial" w:hAnsi="Arial" w:cs="Arial"/>
                <w:b/>
                <w:bCs/>
                <w:color w:val="000000"/>
                <w:lang w:eastAsia="cs-CZ"/>
              </w:rPr>
              <w:t> </w:t>
            </w:r>
          </w:p>
        </w:tc>
        <w:tc>
          <w:tcPr>
            <w:tcW w:w="1701" w:type="dxa"/>
            <w:hideMark/>
          </w:tcPr>
          <w:p w14:paraId="1F3780FD"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 </w:t>
            </w:r>
          </w:p>
        </w:tc>
        <w:tc>
          <w:tcPr>
            <w:tcW w:w="1839" w:type="dxa"/>
            <w:hideMark/>
          </w:tcPr>
          <w:p w14:paraId="2F5C24E1" w14:textId="77777777" w:rsidR="00E94D54" w:rsidRPr="00915206" w:rsidRDefault="00E94D54" w:rsidP="00E94D54">
            <w:pPr>
              <w:suppressAutoHyphens w:val="0"/>
              <w:jc w:val="both"/>
              <w:rPr>
                <w:rFonts w:ascii="Arial" w:hAnsi="Arial" w:cs="Arial"/>
                <w:color w:val="000000"/>
                <w:lang w:eastAsia="cs-CZ"/>
              </w:rPr>
            </w:pPr>
            <w:r w:rsidRPr="00915206">
              <w:rPr>
                <w:rFonts w:ascii="Arial" w:hAnsi="Arial" w:cs="Arial"/>
                <w:color w:val="000000"/>
                <w:lang w:eastAsia="cs-CZ"/>
              </w:rPr>
              <w:t> </w:t>
            </w:r>
          </w:p>
        </w:tc>
      </w:tr>
      <w:bookmarkEnd w:id="4"/>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22C45D15"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6811E1">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74FDD386"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6811E1">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56B1ADB3" w14:textId="77777777" w:rsidR="005E264C" w:rsidRDefault="005E264C" w:rsidP="00803CE2">
      <w:pPr>
        <w:pStyle w:val="Odstavecseseznamem"/>
        <w:rPr>
          <w:rFonts w:ascii="Arial" w:hAnsi="Arial" w:cs="Arial"/>
        </w:rPr>
      </w:pPr>
    </w:p>
    <w:p w14:paraId="222BC568" w14:textId="77777777" w:rsidR="00E65515" w:rsidRDefault="00E65515" w:rsidP="00E65515">
      <w:pPr>
        <w:numPr>
          <w:ilvl w:val="0"/>
          <w:numId w:val="27"/>
        </w:numPr>
        <w:tabs>
          <w:tab w:val="left" w:pos="0"/>
        </w:tabs>
        <w:ind w:left="425" w:hanging="425"/>
        <w:jc w:val="both"/>
        <w:rPr>
          <w:rFonts w:ascii="Arial" w:hAnsi="Arial" w:cs="Arial"/>
        </w:rPr>
      </w:pPr>
      <w:r w:rsidRPr="00DA0093">
        <w:rPr>
          <w:rFonts w:ascii="Arial" w:hAnsi="Arial" w:cs="Arial"/>
        </w:rPr>
        <w:t>Zhotovitel je povinen zajistit, aby se v rámci odborné studijní praxe na realizaci Díla podílel alespoň 1 student bakalářského nebo magisterského stupně studia v oboru vodních staveb či příbuzných oborů. Zhotovitel je do 14 dnů od doručení výzvy Objednatele povinen doložit, že praxe byla vykonána.</w:t>
      </w:r>
    </w:p>
    <w:p w14:paraId="4511A994" w14:textId="77777777" w:rsidR="006811E1" w:rsidRPr="00DA0093" w:rsidRDefault="006811E1" w:rsidP="006811E1">
      <w:pPr>
        <w:tabs>
          <w:tab w:val="left" w:pos="0"/>
        </w:tabs>
        <w:jc w:val="both"/>
        <w:rPr>
          <w:rFonts w:ascii="Arial" w:hAnsi="Arial" w:cs="Arial"/>
        </w:rPr>
      </w:pPr>
    </w:p>
    <w:p w14:paraId="3440CEA1" w14:textId="77777777" w:rsidR="006811E1" w:rsidRPr="00954738" w:rsidRDefault="006811E1" w:rsidP="006811E1">
      <w:pPr>
        <w:numPr>
          <w:ilvl w:val="0"/>
          <w:numId w:val="27"/>
        </w:numPr>
        <w:tabs>
          <w:tab w:val="left" w:pos="0"/>
        </w:tabs>
        <w:ind w:left="425" w:hanging="425"/>
        <w:jc w:val="both"/>
        <w:rPr>
          <w:rFonts w:ascii="Arial" w:hAnsi="Arial" w:cs="Arial"/>
        </w:rPr>
      </w:pPr>
      <w:r w:rsidRPr="00954738">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3543C769" w14:textId="77777777" w:rsidR="006811E1" w:rsidRPr="00B84C57" w:rsidRDefault="006811E1" w:rsidP="006811E1">
      <w:pPr>
        <w:pStyle w:val="Odstavecseseznamem"/>
        <w:rPr>
          <w:rFonts w:ascii="Arial" w:hAnsi="Arial" w:cs="Arial"/>
          <w:highlight w:val="yellow"/>
        </w:rPr>
      </w:pPr>
    </w:p>
    <w:p w14:paraId="08D1E9D7" w14:textId="4B738439" w:rsidR="006811E1" w:rsidRPr="006811E1" w:rsidRDefault="006811E1" w:rsidP="006811E1">
      <w:pPr>
        <w:numPr>
          <w:ilvl w:val="0"/>
          <w:numId w:val="27"/>
        </w:numPr>
        <w:tabs>
          <w:tab w:val="left" w:pos="0"/>
        </w:tabs>
        <w:ind w:left="425" w:hanging="425"/>
        <w:jc w:val="both"/>
        <w:rPr>
          <w:rFonts w:ascii="Arial" w:hAnsi="Arial" w:cs="Arial"/>
        </w:rPr>
      </w:pPr>
      <w:r w:rsidRPr="00232F9E">
        <w:rPr>
          <w:rFonts w:ascii="Arial" w:hAnsi="Arial" w:cs="Arial"/>
        </w:rPr>
        <w:t>V případě porušení jakéhokoliv závazku Zhotovitele dle předchozích dvou odstavců je Objednatel oprávněn požadovat zaplacení smluvní pokuty ve výši 1 % ceny Díla bez DPH za každý jednotlivý případ porušení takové povinnosti. Porušení jakékoliv z 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5F0846FF"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FB72BA">
        <w:rPr>
          <w:rFonts w:ascii="Arial" w:hAnsi="Arial" w:cs="Arial"/>
          <w:szCs w:val="24"/>
        </w:rPr>
        <w:t>třech</w:t>
      </w:r>
      <w:r w:rsidR="00FB72BA" w:rsidRPr="000C2383">
        <w:rPr>
          <w:rFonts w:ascii="Arial" w:hAnsi="Arial" w:cs="Arial"/>
          <w:szCs w:val="24"/>
        </w:rPr>
        <w:t xml:space="preserve"> </w:t>
      </w:r>
      <w:r w:rsidRPr="000C2383">
        <w:rPr>
          <w:rFonts w:ascii="Arial" w:hAnsi="Arial" w:cs="Arial"/>
          <w:szCs w:val="24"/>
        </w:rPr>
        <w:t xml:space="preserve">stejnopisech, z nichž </w:t>
      </w:r>
      <w:r w:rsidR="00FB72BA">
        <w:rPr>
          <w:rFonts w:ascii="Arial" w:hAnsi="Arial" w:cs="Arial"/>
          <w:szCs w:val="24"/>
        </w:rPr>
        <w:t>dva</w:t>
      </w:r>
      <w:r w:rsidR="00FB72BA" w:rsidRPr="000C2383">
        <w:rPr>
          <w:rFonts w:ascii="Arial" w:hAnsi="Arial" w:cs="Arial"/>
          <w:szCs w:val="24"/>
        </w:rPr>
        <w:t xml:space="preserve"> </w:t>
      </w:r>
      <w:r w:rsidRPr="000C2383">
        <w:rPr>
          <w:rFonts w:ascii="Arial" w:hAnsi="Arial" w:cs="Arial"/>
          <w:szCs w:val="24"/>
        </w:rPr>
        <w:t xml:space="preserve">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DC4DC7" w:rsidRPr="000C2383">
        <w:rPr>
          <w:rFonts w:ascii="Arial" w:hAnsi="Arial" w:cs="Arial"/>
          <w:szCs w:val="24"/>
          <w:highlight w:val="yellow"/>
        </w:rPr>
        <w:t>/</w:t>
      </w:r>
      <w:r w:rsidR="000C2383" w:rsidRPr="000C2383">
        <w:rPr>
          <w:rFonts w:ascii="Arial" w:hAnsi="Arial" w:cs="Arial"/>
          <w:szCs w:val="24"/>
          <w:highlight w:val="yellow"/>
        </w:rPr>
        <w:t xml:space="preserve"> </w:t>
      </w:r>
      <w:r w:rsidR="000C2383" w:rsidRPr="000F74B6">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Pr="00756DF0" w:rsidRDefault="009056F4" w:rsidP="000E05CD">
      <w:pPr>
        <w:numPr>
          <w:ilvl w:val="0"/>
          <w:numId w:val="27"/>
        </w:numPr>
        <w:tabs>
          <w:tab w:val="left" w:pos="0"/>
        </w:tabs>
        <w:ind w:left="425" w:hanging="425"/>
        <w:jc w:val="both"/>
        <w:rPr>
          <w:rFonts w:ascii="Arial" w:hAnsi="Arial" w:cs="Arial"/>
        </w:rPr>
      </w:pPr>
      <w:r w:rsidRPr="00756DF0">
        <w:rPr>
          <w:rFonts w:ascii="Arial" w:hAnsi="Arial" w:cs="Arial"/>
          <w:szCs w:val="24"/>
        </w:rPr>
        <w:t>Nedílnou</w:t>
      </w:r>
      <w:r w:rsidRPr="00756DF0">
        <w:rPr>
          <w:rFonts w:ascii="Arial" w:hAnsi="Arial" w:cs="Arial"/>
        </w:rPr>
        <w:t xml:space="preserve"> součástí </w:t>
      </w:r>
      <w:r w:rsidR="00DC4DC7" w:rsidRPr="00756DF0">
        <w:rPr>
          <w:rFonts w:ascii="Arial" w:hAnsi="Arial" w:cs="Arial"/>
        </w:rPr>
        <w:t>S</w:t>
      </w:r>
      <w:r w:rsidRPr="00756DF0">
        <w:rPr>
          <w:rFonts w:ascii="Arial" w:hAnsi="Arial" w:cs="Arial"/>
        </w:rPr>
        <w:t>mlouvy jsou všeobecné obchodní podmínky.</w:t>
      </w:r>
    </w:p>
    <w:p w14:paraId="201FE1C3" w14:textId="77777777" w:rsidR="008854FB" w:rsidRPr="00756DF0" w:rsidRDefault="008854FB" w:rsidP="008854FB">
      <w:pPr>
        <w:pStyle w:val="Odstavecseseznamem"/>
        <w:rPr>
          <w:rFonts w:ascii="Arial" w:hAnsi="Arial" w:cs="Arial"/>
        </w:rPr>
      </w:pPr>
    </w:p>
    <w:p w14:paraId="3AF13C1B" w14:textId="77777777" w:rsidR="008854FB" w:rsidRPr="000F74B6" w:rsidRDefault="008854FB" w:rsidP="008854FB">
      <w:pPr>
        <w:numPr>
          <w:ilvl w:val="0"/>
          <w:numId w:val="27"/>
        </w:numPr>
        <w:tabs>
          <w:tab w:val="left" w:pos="0"/>
        </w:tabs>
        <w:ind w:left="425" w:hanging="425"/>
        <w:jc w:val="both"/>
        <w:rPr>
          <w:rFonts w:ascii="Arial" w:hAnsi="Arial" w:cs="Arial"/>
        </w:rPr>
      </w:pPr>
      <w:r w:rsidRPr="000F74B6">
        <w:rPr>
          <w:rFonts w:ascii="Arial" w:hAnsi="Arial" w:cs="Arial"/>
        </w:rPr>
        <w:t>Přílohy:</w:t>
      </w:r>
    </w:p>
    <w:p w14:paraId="3556A027" w14:textId="56A44551" w:rsidR="00F46328" w:rsidRPr="00F46328" w:rsidRDefault="008854FB" w:rsidP="008854FB">
      <w:pPr>
        <w:tabs>
          <w:tab w:val="left" w:pos="0"/>
        </w:tabs>
        <w:ind w:left="1415" w:hanging="990"/>
        <w:jc w:val="both"/>
        <w:rPr>
          <w:rFonts w:ascii="Arial" w:hAnsi="Arial" w:cs="Arial"/>
          <w:i/>
        </w:rPr>
      </w:pPr>
      <w:r w:rsidRPr="00961EEA">
        <w:rPr>
          <w:rFonts w:ascii="Arial" w:hAnsi="Arial" w:cs="Arial"/>
          <w:i/>
          <w:lang w:eastAsia="cs-CZ"/>
        </w:rPr>
        <w:tab/>
      </w:r>
      <w:r w:rsidR="00716DA5">
        <w:rPr>
          <w:rFonts w:ascii="Arial" w:hAnsi="Arial" w:cs="Arial"/>
          <w:i/>
        </w:rPr>
        <w:t>Investiční záměr – zadání rozsahu projekčních prací</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lastRenderedPageBreak/>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7704251D"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716DA5">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38D8" w14:textId="77777777" w:rsidR="00016C1B" w:rsidRDefault="00016C1B" w:rsidP="00B2498C">
      <w:r>
        <w:separator/>
      </w:r>
    </w:p>
  </w:endnote>
  <w:endnote w:type="continuationSeparator" w:id="0">
    <w:p w14:paraId="5E8F4843" w14:textId="77777777" w:rsidR="00016C1B" w:rsidRDefault="00016C1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212C1CFE" w:rsidR="00162D4F" w:rsidRDefault="00162D4F">
    <w:pPr>
      <w:pStyle w:val="Zpat"/>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216574">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216574">
      <w:rPr>
        <w:rFonts w:cs="Arial"/>
        <w:b/>
        <w:noProof/>
        <w:color w:val="808080"/>
      </w:rPr>
      <w:t>14</w:t>
    </w:r>
    <w:r>
      <w:rPr>
        <w:rFonts w:cs="Arial"/>
        <w:b/>
        <w:color w:val="808080"/>
      </w:rPr>
      <w:fldChar w:fldCharType="end"/>
    </w:r>
    <w:r>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A1EA" w14:textId="77777777" w:rsidR="00016C1B" w:rsidRDefault="00016C1B" w:rsidP="00B2498C">
      <w:r>
        <w:separator/>
      </w:r>
    </w:p>
  </w:footnote>
  <w:footnote w:type="continuationSeparator" w:id="0">
    <w:p w14:paraId="66D51E9E" w14:textId="77777777" w:rsidR="00016C1B" w:rsidRDefault="00016C1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6617528">
    <w:abstractNumId w:val="3"/>
  </w:num>
  <w:num w:numId="2" w16cid:durableId="396826785">
    <w:abstractNumId w:val="4"/>
  </w:num>
  <w:num w:numId="3" w16cid:durableId="1958562323">
    <w:abstractNumId w:val="9"/>
  </w:num>
  <w:num w:numId="4" w16cid:durableId="1705790515">
    <w:abstractNumId w:val="11"/>
  </w:num>
  <w:num w:numId="5" w16cid:durableId="684677468">
    <w:abstractNumId w:val="23"/>
  </w:num>
  <w:num w:numId="6" w16cid:durableId="628168335">
    <w:abstractNumId w:val="24"/>
  </w:num>
  <w:num w:numId="7" w16cid:durableId="1749616314">
    <w:abstractNumId w:val="30"/>
  </w:num>
  <w:num w:numId="8" w16cid:durableId="1927691321">
    <w:abstractNumId w:val="38"/>
  </w:num>
  <w:num w:numId="9" w16cid:durableId="1236623983">
    <w:abstractNumId w:val="34"/>
  </w:num>
  <w:num w:numId="10" w16cid:durableId="10986756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1205974">
    <w:abstractNumId w:val="35"/>
  </w:num>
  <w:num w:numId="12" w16cid:durableId="1161310917">
    <w:abstractNumId w:val="22"/>
  </w:num>
  <w:num w:numId="13" w16cid:durableId="248541011">
    <w:abstractNumId w:val="41"/>
  </w:num>
  <w:num w:numId="14" w16cid:durableId="236521363">
    <w:abstractNumId w:val="27"/>
  </w:num>
  <w:num w:numId="15" w16cid:durableId="343748197">
    <w:abstractNumId w:val="14"/>
  </w:num>
  <w:num w:numId="16" w16cid:durableId="1013724629">
    <w:abstractNumId w:val="25"/>
  </w:num>
  <w:num w:numId="17" w16cid:durableId="962881043">
    <w:abstractNumId w:val="31"/>
  </w:num>
  <w:num w:numId="18" w16cid:durableId="921716990">
    <w:abstractNumId w:val="33"/>
  </w:num>
  <w:num w:numId="19" w16cid:durableId="1424955222">
    <w:abstractNumId w:val="17"/>
  </w:num>
  <w:num w:numId="20" w16cid:durableId="2115861795">
    <w:abstractNumId w:val="20"/>
  </w:num>
  <w:num w:numId="21" w16cid:durableId="1386835260">
    <w:abstractNumId w:val="18"/>
  </w:num>
  <w:num w:numId="22" w16cid:durableId="933899692">
    <w:abstractNumId w:val="39"/>
  </w:num>
  <w:num w:numId="23" w16cid:durableId="488668628">
    <w:abstractNumId w:val="19"/>
  </w:num>
  <w:num w:numId="24" w16cid:durableId="131989608">
    <w:abstractNumId w:val="36"/>
  </w:num>
  <w:num w:numId="25" w16cid:durableId="1976787758">
    <w:abstractNumId w:val="16"/>
  </w:num>
  <w:num w:numId="26" w16cid:durableId="2025739838">
    <w:abstractNumId w:val="40"/>
  </w:num>
  <w:num w:numId="27" w16cid:durableId="1175460526">
    <w:abstractNumId w:val="21"/>
  </w:num>
  <w:num w:numId="28" w16cid:durableId="1795827002">
    <w:abstractNumId w:val="26"/>
  </w:num>
  <w:num w:numId="29" w16cid:durableId="562907380">
    <w:abstractNumId w:val="32"/>
  </w:num>
  <w:num w:numId="30" w16cid:durableId="1398747091">
    <w:abstractNumId w:val="29"/>
  </w:num>
  <w:num w:numId="31" w16cid:durableId="1888105733">
    <w:abstractNumId w:val="15"/>
  </w:num>
  <w:num w:numId="32" w16cid:durableId="8248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16C1B"/>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74B6"/>
    <w:rsid w:val="000F7BD0"/>
    <w:rsid w:val="00103E8F"/>
    <w:rsid w:val="00104FE9"/>
    <w:rsid w:val="00126FCF"/>
    <w:rsid w:val="001365E3"/>
    <w:rsid w:val="0013719E"/>
    <w:rsid w:val="00142469"/>
    <w:rsid w:val="00144E02"/>
    <w:rsid w:val="001472BD"/>
    <w:rsid w:val="00153668"/>
    <w:rsid w:val="001624F3"/>
    <w:rsid w:val="00162D4F"/>
    <w:rsid w:val="001650FC"/>
    <w:rsid w:val="001709EF"/>
    <w:rsid w:val="00170EA3"/>
    <w:rsid w:val="0017433F"/>
    <w:rsid w:val="0018649F"/>
    <w:rsid w:val="001A78E3"/>
    <w:rsid w:val="001B110F"/>
    <w:rsid w:val="001B339D"/>
    <w:rsid w:val="001B6B9D"/>
    <w:rsid w:val="001C2830"/>
    <w:rsid w:val="001C69CD"/>
    <w:rsid w:val="001E5B4F"/>
    <w:rsid w:val="00204A56"/>
    <w:rsid w:val="002104D8"/>
    <w:rsid w:val="00216574"/>
    <w:rsid w:val="00216BDF"/>
    <w:rsid w:val="00220368"/>
    <w:rsid w:val="00225ADE"/>
    <w:rsid w:val="00227B0D"/>
    <w:rsid w:val="00236A64"/>
    <w:rsid w:val="00236FF9"/>
    <w:rsid w:val="00241314"/>
    <w:rsid w:val="002526D6"/>
    <w:rsid w:val="002567B5"/>
    <w:rsid w:val="002656DF"/>
    <w:rsid w:val="00277DDB"/>
    <w:rsid w:val="00277E38"/>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25D4F"/>
    <w:rsid w:val="0043273B"/>
    <w:rsid w:val="00433BF0"/>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40772"/>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577C"/>
    <w:rsid w:val="006811E1"/>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16DA5"/>
    <w:rsid w:val="007223BC"/>
    <w:rsid w:val="0075383B"/>
    <w:rsid w:val="00756333"/>
    <w:rsid w:val="00756DF0"/>
    <w:rsid w:val="0076022F"/>
    <w:rsid w:val="00761803"/>
    <w:rsid w:val="00761CB4"/>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32C69"/>
    <w:rsid w:val="008416FD"/>
    <w:rsid w:val="00850BF9"/>
    <w:rsid w:val="008538CC"/>
    <w:rsid w:val="008548CB"/>
    <w:rsid w:val="00861AC2"/>
    <w:rsid w:val="008657E6"/>
    <w:rsid w:val="0086588B"/>
    <w:rsid w:val="00874707"/>
    <w:rsid w:val="00875C36"/>
    <w:rsid w:val="00882137"/>
    <w:rsid w:val="008854FB"/>
    <w:rsid w:val="00886E6D"/>
    <w:rsid w:val="0088724B"/>
    <w:rsid w:val="00895636"/>
    <w:rsid w:val="008A1A4F"/>
    <w:rsid w:val="008A5E28"/>
    <w:rsid w:val="008A6D60"/>
    <w:rsid w:val="008A7039"/>
    <w:rsid w:val="008B52EE"/>
    <w:rsid w:val="008C19EE"/>
    <w:rsid w:val="008C5D9A"/>
    <w:rsid w:val="008D53E2"/>
    <w:rsid w:val="008E0438"/>
    <w:rsid w:val="008E62CB"/>
    <w:rsid w:val="008E6E40"/>
    <w:rsid w:val="008F5BA7"/>
    <w:rsid w:val="00902196"/>
    <w:rsid w:val="009056F4"/>
    <w:rsid w:val="00921764"/>
    <w:rsid w:val="00923F9E"/>
    <w:rsid w:val="009352CB"/>
    <w:rsid w:val="009373BE"/>
    <w:rsid w:val="00942E79"/>
    <w:rsid w:val="00944293"/>
    <w:rsid w:val="009568A4"/>
    <w:rsid w:val="00961EEA"/>
    <w:rsid w:val="00976E18"/>
    <w:rsid w:val="009833C1"/>
    <w:rsid w:val="00985F49"/>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6BBA"/>
    <w:rsid w:val="00A16ED3"/>
    <w:rsid w:val="00A178AF"/>
    <w:rsid w:val="00A26960"/>
    <w:rsid w:val="00A47265"/>
    <w:rsid w:val="00A61B7E"/>
    <w:rsid w:val="00A63BB4"/>
    <w:rsid w:val="00A67D1A"/>
    <w:rsid w:val="00A74DC6"/>
    <w:rsid w:val="00A77C38"/>
    <w:rsid w:val="00A80260"/>
    <w:rsid w:val="00A8391E"/>
    <w:rsid w:val="00A85994"/>
    <w:rsid w:val="00A86415"/>
    <w:rsid w:val="00A87B2C"/>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5458D"/>
    <w:rsid w:val="00B64A5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54B22"/>
    <w:rsid w:val="00D62E6F"/>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0F39"/>
    <w:rsid w:val="00E239C3"/>
    <w:rsid w:val="00E35C1A"/>
    <w:rsid w:val="00E37AF8"/>
    <w:rsid w:val="00E45492"/>
    <w:rsid w:val="00E51929"/>
    <w:rsid w:val="00E5471B"/>
    <w:rsid w:val="00E57BF8"/>
    <w:rsid w:val="00E65515"/>
    <w:rsid w:val="00E676DF"/>
    <w:rsid w:val="00E70CF7"/>
    <w:rsid w:val="00E850ED"/>
    <w:rsid w:val="00E94D54"/>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71554"/>
    <w:rsid w:val="00F73431"/>
    <w:rsid w:val="00F77609"/>
    <w:rsid w:val="00F83A88"/>
    <w:rsid w:val="00F84102"/>
    <w:rsid w:val="00F86E30"/>
    <w:rsid w:val="00F92378"/>
    <w:rsid w:val="00F95CCC"/>
    <w:rsid w:val="00FB47A3"/>
    <w:rsid w:val="00FB72BA"/>
    <w:rsid w:val="00FD0D91"/>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5839</Words>
  <Characters>34454</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Pavlasová Barbora</cp:lastModifiedBy>
  <cp:revision>6</cp:revision>
  <cp:lastPrinted>2025-09-08T09:03:00Z</cp:lastPrinted>
  <dcterms:created xsi:type="dcterms:W3CDTF">2025-08-19T05:47:00Z</dcterms:created>
  <dcterms:modified xsi:type="dcterms:W3CDTF">2025-09-08T09:03:00Z</dcterms:modified>
</cp:coreProperties>
</file>