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1A7E20" w:rsidRDefault="00D34220" w:rsidP="001346DD">
            <w:pPr>
              <w:rPr>
                <w:b/>
              </w:rPr>
            </w:pPr>
            <w:r>
              <w:rPr>
                <w:b/>
              </w:rPr>
              <w:t>26DOD910000</w:t>
            </w:r>
            <w:r w:rsidRPr="00D34220">
              <w:rPr>
                <w:b/>
                <w:highlight w:val="yellow"/>
              </w:rPr>
              <w:t>XX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466F36" w:rsidP="00FC6295">
            <w:r w:rsidRPr="00EA1DBA">
              <w:t>……………….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E2683" w:rsidRDefault="004E2683" w:rsidP="00226192">
            <w:pPr>
              <w:rPr>
                <w:b/>
              </w:rPr>
            </w:pPr>
            <w:r w:rsidRPr="001A7E20">
              <w:rPr>
                <w:b/>
              </w:rPr>
              <w:t xml:space="preserve">PS </w:t>
            </w:r>
            <w:r>
              <w:rPr>
                <w:b/>
              </w:rPr>
              <w:t xml:space="preserve">Jičín, </w:t>
            </w:r>
            <w:r w:rsidR="00793722">
              <w:rPr>
                <w:b/>
              </w:rPr>
              <w:t>výc</w:t>
            </w:r>
            <w:r>
              <w:rPr>
                <w:b/>
              </w:rPr>
              <w:t>h</w:t>
            </w:r>
            <w:r w:rsidR="00793722">
              <w:rPr>
                <w:b/>
              </w:rPr>
              <w:t>od</w:t>
            </w:r>
            <w:r>
              <w:rPr>
                <w:b/>
              </w:rPr>
              <w:t>, sečení břehových porostů</w:t>
            </w:r>
            <w:r w:rsidR="007B0036">
              <w:rPr>
                <w:b/>
              </w:rPr>
              <w:t>,</w:t>
            </w:r>
          </w:p>
          <w:p w:rsidR="00466F36" w:rsidRPr="00EA1DBA" w:rsidRDefault="007B0036" w:rsidP="00793722">
            <w:r w:rsidRPr="007B0036">
              <w:rPr>
                <w:b/>
              </w:rPr>
              <w:t>71126012</w:t>
            </w:r>
            <w:r w:rsidR="00793722">
              <w:rPr>
                <w:b/>
              </w:rPr>
              <w:t>7</w:t>
            </w:r>
            <w:r w:rsidR="004E2683">
              <w:rPr>
                <w:b/>
              </w:rPr>
              <w:t xml:space="preserve"> / 9124</w:t>
            </w:r>
            <w:r w:rsidR="00793722">
              <w:rPr>
                <w:b/>
              </w:rPr>
              <w:t>3</w:t>
            </w:r>
            <w:r w:rsidR="004E2683">
              <w:rPr>
                <w:b/>
              </w:rPr>
              <w:t>0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093146"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  <w:hideMark/>
          </w:tcPr>
          <w:p w:rsidR="00093146" w:rsidRDefault="00093146" w:rsidP="001D4AF1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093146" w:rsidRPr="00AE6416" w:rsidRDefault="00093146" w:rsidP="001D4AF1">
            <w:pPr>
              <w:rPr>
                <w:b/>
              </w:rPr>
            </w:pPr>
            <w:r w:rsidRPr="00AE6416">
              <w:t>500 03</w:t>
            </w:r>
            <w:r>
              <w:t xml:space="preserve"> Hradec Králové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Ing. Marián </w:t>
            </w:r>
            <w:r>
              <w:t>Šebesta, generální ředitel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závod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závodu:</w:t>
            </w:r>
          </w:p>
        </w:tc>
        <w:tc>
          <w:tcPr>
            <w:tcW w:w="5953" w:type="dxa"/>
          </w:tcPr>
          <w:p w:rsidR="00093146" w:rsidRPr="002459A3" w:rsidRDefault="00093146" w:rsidP="001D4AF1">
            <w:r w:rsidRPr="002459A3">
              <w:t>Želivského</w:t>
            </w:r>
            <w:r>
              <w:t xml:space="preserve"> 5, 466 05</w:t>
            </w:r>
            <w:r w:rsidRPr="002459A3">
              <w:t xml:space="preserve">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093146" w:rsidRPr="00C721DF" w:rsidRDefault="00093146" w:rsidP="001D4AF1">
            <w:pPr>
              <w:rPr>
                <w:b/>
              </w:rPr>
            </w:pPr>
            <w:r w:rsidRPr="00C721DF">
              <w:t>Ing.</w:t>
            </w:r>
            <w:r>
              <w:t xml:space="preserve"> Bohumil Pleskač</w:t>
            </w:r>
            <w:r w:rsidRPr="00C721DF">
              <w:t xml:space="preserve">, ředitel závodu 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Pr="00C721DF" w:rsidRDefault="00093146" w:rsidP="001D4AF1"/>
        </w:tc>
      </w:tr>
      <w:tr w:rsidR="004E2683" w:rsidRPr="00AE6416" w:rsidTr="00093146">
        <w:tc>
          <w:tcPr>
            <w:tcW w:w="3119" w:type="dxa"/>
            <w:hideMark/>
          </w:tcPr>
          <w:p w:rsidR="004E2683" w:rsidRPr="00AE6416" w:rsidRDefault="004E2683" w:rsidP="004E2683">
            <w:r w:rsidRPr="00AE6416">
              <w:t>Zástupce pro věci technické:</w:t>
            </w:r>
          </w:p>
        </w:tc>
        <w:tc>
          <w:tcPr>
            <w:tcW w:w="5953" w:type="dxa"/>
          </w:tcPr>
          <w:p w:rsidR="004E2683" w:rsidRPr="00C721DF" w:rsidRDefault="004E2683" w:rsidP="004E2683">
            <w:r w:rsidRPr="004B1B6A">
              <w:t xml:space="preserve">Ing. </w:t>
            </w:r>
            <w:r>
              <w:t>Marcela Marešová</w:t>
            </w:r>
            <w:r w:rsidRPr="004B1B6A">
              <w:t xml:space="preserve">, vedoucí PS </w:t>
            </w:r>
            <w:r>
              <w:t>Jičín, tel.: 724 068 969,</w:t>
            </w:r>
          </w:p>
        </w:tc>
      </w:tr>
      <w:tr w:rsidR="004E2683" w:rsidRPr="00AE6416" w:rsidTr="00093146">
        <w:tc>
          <w:tcPr>
            <w:tcW w:w="3119" w:type="dxa"/>
          </w:tcPr>
          <w:p w:rsidR="004E2683" w:rsidRPr="00AE6416" w:rsidRDefault="004E2683" w:rsidP="004E2683"/>
        </w:tc>
        <w:tc>
          <w:tcPr>
            <w:tcW w:w="5953" w:type="dxa"/>
          </w:tcPr>
          <w:p w:rsidR="004E2683" w:rsidRDefault="00793722" w:rsidP="004E2683">
            <w:r>
              <w:t xml:space="preserve">Olga Pleskačová Procházková, úsekový technik, tel.: </w:t>
            </w:r>
            <w:proofErr w:type="gramStart"/>
            <w:r>
              <w:t>724 614</w:t>
            </w:r>
            <w:r>
              <w:t> </w:t>
            </w:r>
            <w:r>
              <w:t>010,</w:t>
            </w:r>
            <w:r w:rsidR="004E2683">
              <w:t>,</w:t>
            </w:r>
            <w:proofErr w:type="gramEnd"/>
          </w:p>
          <w:p w:rsidR="004E2683" w:rsidRPr="00C721DF" w:rsidRDefault="004E2683" w:rsidP="004E2683">
            <w:r>
              <w:t>Petr Kramář</w:t>
            </w:r>
            <w:r w:rsidRPr="007F13B2">
              <w:t xml:space="preserve">, technický pracovník, tel. </w:t>
            </w:r>
            <w:r>
              <w:t>777 460 865.</w:t>
            </w:r>
          </w:p>
        </w:tc>
      </w:tr>
      <w:tr w:rsidR="00226192" w:rsidRPr="00AE6416" w:rsidTr="00093146">
        <w:tc>
          <w:tcPr>
            <w:tcW w:w="3119" w:type="dxa"/>
          </w:tcPr>
          <w:p w:rsidR="00226192" w:rsidRPr="007F13B2" w:rsidRDefault="00226192" w:rsidP="00226192"/>
        </w:tc>
        <w:tc>
          <w:tcPr>
            <w:tcW w:w="5953" w:type="dxa"/>
          </w:tcPr>
          <w:p w:rsidR="00226192" w:rsidRDefault="00226192" w:rsidP="00226192"/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Default="00093146" w:rsidP="001D4AF1">
            <w:pPr>
              <w:rPr>
                <w:color w:val="2E74B5" w:themeColor="accent1" w:themeShade="BF"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DIČ: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CZ70890005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Krajský soud v Hradci Králové oddíl A vložka 9473</w:t>
            </w:r>
          </w:p>
        </w:tc>
      </w:tr>
    </w:tbl>
    <w:p w:rsidR="00093146" w:rsidRPr="00AE6416" w:rsidRDefault="00093146" w:rsidP="00093146">
      <w:pPr>
        <w:rPr>
          <w:b/>
        </w:rPr>
      </w:pPr>
    </w:p>
    <w:p w:rsidR="00093146" w:rsidRPr="00AE6416" w:rsidRDefault="00093146" w:rsidP="00093146">
      <w:r w:rsidRPr="00AE6416">
        <w:t xml:space="preserve">(dále jen jako „objednatel“) </w:t>
      </w:r>
    </w:p>
    <w:p w:rsidR="00093146" w:rsidRPr="00AE6416" w:rsidRDefault="00093146" w:rsidP="0009314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093146" w:rsidRPr="007F13B2" w:rsidRDefault="00093146" w:rsidP="001D4AF1"/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Název: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Adresa sídla: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Statutární orgán: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Osoba oprávněná k podpisu: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Zástupce pro věci technické: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…………………., tel.: 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DIČ: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Bankovní spojení: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Zápis v obchodním rejstříku: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</w:tbl>
    <w:p w:rsidR="00093146" w:rsidRPr="00AE6416" w:rsidRDefault="00093146" w:rsidP="00093146"/>
    <w:p w:rsidR="00093146" w:rsidRDefault="00093146" w:rsidP="00093146">
      <w:r w:rsidRPr="00AE6416">
        <w:t>(dále jen jako „zhotovitel“)</w:t>
      </w:r>
    </w:p>
    <w:p w:rsidR="00466F36" w:rsidRDefault="00466F36" w:rsidP="00466F36"/>
    <w:p w:rsidR="00726863" w:rsidRPr="00265A42" w:rsidRDefault="00726863" w:rsidP="004D03F1"/>
    <w:p w:rsidR="00D346F9" w:rsidRPr="00265A42" w:rsidRDefault="0073450A" w:rsidP="006366EE">
      <w:pPr>
        <w:pStyle w:val="Nadpis1"/>
      </w:pPr>
      <w:r w:rsidRPr="00265A42">
        <w:lastRenderedPageBreak/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4E2683" w:rsidRPr="001A7E20">
        <w:rPr>
          <w:b/>
        </w:rPr>
        <w:t xml:space="preserve">PS </w:t>
      </w:r>
      <w:r w:rsidR="004E2683">
        <w:rPr>
          <w:b/>
        </w:rPr>
        <w:t xml:space="preserve">Jičín, </w:t>
      </w:r>
      <w:r w:rsidR="00793722">
        <w:rPr>
          <w:b/>
        </w:rPr>
        <w:t>východ</w:t>
      </w:r>
      <w:bookmarkStart w:id="0" w:name="_GoBack"/>
      <w:bookmarkEnd w:id="0"/>
      <w:r w:rsidR="004E2683">
        <w:rPr>
          <w:b/>
        </w:rPr>
        <w:t>, sečení břehových porostů</w:t>
      </w:r>
      <w:r w:rsidR="00A63C09" w:rsidRPr="00A3694C">
        <w:rPr>
          <w:lang w:eastAsia="x-none"/>
        </w:rPr>
        <w:t xml:space="preserve"> </w:t>
      </w:r>
      <w:r w:rsidR="00A32764" w:rsidRPr="00A3694C">
        <w:rPr>
          <w:lang w:eastAsia="x-none"/>
        </w:rPr>
        <w:t>spočívající v</w:t>
      </w:r>
      <w:r w:rsidR="00160FFE" w:rsidRPr="00A3694C">
        <w:rPr>
          <w:lang w:eastAsia="x-none"/>
        </w:rPr>
        <w:t> provedení prací</w:t>
      </w:r>
      <w:r w:rsidR="004F0542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4E2683">
        <w:rPr>
          <w:lang w:eastAsia="x-none"/>
        </w:rPr>
        <w:t>PS Jičín</w:t>
      </w:r>
      <w:r w:rsidR="007B0036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Pr="00A3694C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  <w:r w:rsidR="009437C1">
        <w:rPr>
          <w:lang w:val="cs-CZ"/>
        </w:rPr>
        <w:t xml:space="preserve"> </w:t>
      </w:r>
    </w:p>
    <w:p w:rsidR="002166A4" w:rsidRPr="00D34220" w:rsidRDefault="002166A4" w:rsidP="00156526">
      <w:pPr>
        <w:pStyle w:val="Nadpis2"/>
      </w:pPr>
      <w:r w:rsidRPr="00EA1DBA"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lastRenderedPageBreak/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3825D8" w:rsidRPr="0015652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>. čl. 4.3. smlouvy)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  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>Maximální cena bez DPH za práce provedené v roce 2026 činí …………….…..Kč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2027 činí ………….……..Kč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 2028 činí ………….……..Kč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lastRenderedPageBreak/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Pr="0023197B" w:rsidRDefault="006034A8" w:rsidP="00EA1DBA">
      <w:pPr>
        <w:pStyle w:val="Nadpis2"/>
        <w:rPr>
          <w:color w:val="FF0000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Pr="0023197B" w:rsidRDefault="00A435A2" w:rsidP="00EA1DBA">
      <w:pPr>
        <w:pStyle w:val="Nadpis2"/>
        <w:rPr>
          <w:color w:val="FF0000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Pr="0023197B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 xml:space="preserve">, přičemž maximálně </w:t>
      </w:r>
      <w:r w:rsidRPr="0023197B">
        <w:rPr>
          <w:lang w:val="cs-CZ"/>
        </w:rPr>
        <w:lastRenderedPageBreak/>
        <w:t>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Pr="0023197B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</w:t>
      </w:r>
      <w:r w:rsidRPr="0023197B">
        <w:lastRenderedPageBreak/>
        <w:t xml:space="preserve">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Pr="0023197B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093146" w:rsidRPr="0023197B" w:rsidRDefault="0009314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50368B" w:rsidRPr="0023197B">
        <w:rPr>
          <w:lang w:eastAsia="x-none"/>
        </w:rPr>
        <w:t xml:space="preserve">1. Plán sečení </w:t>
      </w:r>
    </w:p>
    <w:p w:rsidR="00EC1286" w:rsidRPr="0023197B" w:rsidRDefault="00EC1286" w:rsidP="00CA1EAC">
      <w:pPr>
        <w:rPr>
          <w:lang w:eastAsia="x-none"/>
        </w:rPr>
      </w:pPr>
      <w:r w:rsidRPr="0023197B">
        <w:rPr>
          <w:lang w:eastAsia="x-none"/>
        </w:rPr>
        <w:tab/>
        <w:t>2. Vzor zadávacího listu</w:t>
      </w:r>
    </w:p>
    <w:p w:rsidR="00340A55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C306B" w:rsidRDefault="006C306B" w:rsidP="00CA1EAC">
      <w:pPr>
        <w:rPr>
          <w:lang w:eastAsia="x-none"/>
        </w:rPr>
      </w:pPr>
    </w:p>
    <w:p w:rsidR="006025AC" w:rsidRPr="0023197B" w:rsidRDefault="00CA1EAC" w:rsidP="006025AC">
      <w:pPr>
        <w:rPr>
          <w:lang w:val="x-none" w:eastAsia="x-none"/>
        </w:rPr>
      </w:pPr>
      <w:r w:rsidRPr="0023197B">
        <w:rPr>
          <w:lang w:eastAsia="x-none"/>
        </w:rPr>
        <w:tab/>
        <w:t xml:space="preserve"> </w:t>
      </w:r>
    </w:p>
    <w:tbl>
      <w:tblPr>
        <w:tblW w:w="8473" w:type="dxa"/>
        <w:tblInd w:w="709" w:type="dxa"/>
        <w:tblLook w:val="04A0" w:firstRow="1" w:lastRow="0" w:firstColumn="1" w:lastColumn="0" w:noHBand="0" w:noVBand="1"/>
      </w:tblPr>
      <w:tblGrid>
        <w:gridCol w:w="4236"/>
        <w:gridCol w:w="4237"/>
      </w:tblGrid>
      <w:tr w:rsidR="00265A42" w:rsidRPr="0023197B" w:rsidTr="006C306B">
        <w:trPr>
          <w:trHeight w:val="493"/>
        </w:trPr>
        <w:tc>
          <w:tcPr>
            <w:tcW w:w="4236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237" w:type="dxa"/>
            <w:hideMark/>
          </w:tcPr>
          <w:p w:rsidR="00F91E55" w:rsidRDefault="00F91E55">
            <w:r w:rsidRPr="0023197B">
              <w:t>Za zhotovitele:</w:t>
            </w:r>
          </w:p>
          <w:p w:rsidR="006C306B" w:rsidRDefault="006C306B"/>
          <w:p w:rsidR="006C306B" w:rsidRDefault="006C306B"/>
          <w:p w:rsidR="006C306B" w:rsidRDefault="006C306B"/>
          <w:p w:rsidR="00093146" w:rsidRPr="0023197B" w:rsidRDefault="00093146"/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................................................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.....................................................</w:t>
            </w:r>
          </w:p>
        </w:tc>
      </w:tr>
      <w:tr w:rsidR="00093146" w:rsidRPr="0023197B" w:rsidTr="006C306B">
        <w:trPr>
          <w:trHeight w:val="253"/>
        </w:trPr>
        <w:tc>
          <w:tcPr>
            <w:tcW w:w="4236" w:type="dxa"/>
          </w:tcPr>
          <w:p w:rsidR="00093146" w:rsidRPr="0023197B" w:rsidRDefault="006C306B" w:rsidP="00093146">
            <w:r>
              <w:t>Ing. Bohumil Pleskač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doplní zhotovitel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ředitel závodu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funkce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podepsán elektronicky</w:t>
            </w:r>
          </w:p>
        </w:tc>
        <w:tc>
          <w:tcPr>
            <w:tcW w:w="4237" w:type="dxa"/>
          </w:tcPr>
          <w:p w:rsidR="00093146" w:rsidRPr="00265A42" w:rsidRDefault="00093146" w:rsidP="00093146">
            <w:r w:rsidRPr="0023197B">
              <w:t>podepsán elektronicky</w:t>
            </w:r>
          </w:p>
        </w:tc>
      </w:tr>
    </w:tbl>
    <w:p w:rsidR="000C6DAD" w:rsidRPr="009765E1" w:rsidRDefault="000C6DAD" w:rsidP="006C306B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6C306B">
      <w:footerReference w:type="default" r:id="rId10"/>
      <w:pgSz w:w="11906" w:h="16838"/>
      <w:pgMar w:top="993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10" w:rsidRDefault="005A0310" w:rsidP="007A4B81">
      <w:r>
        <w:separator/>
      </w:r>
    </w:p>
  </w:endnote>
  <w:endnote w:type="continuationSeparator" w:id="0">
    <w:p w:rsidR="005A0310" w:rsidRDefault="005A0310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793722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4E2683" w:rsidRPr="004E2683">
            <w:rPr>
              <w:sz w:val="18"/>
              <w:szCs w:val="18"/>
              <w:lang w:val="cs-CZ"/>
            </w:rPr>
            <w:t xml:space="preserve">PS Jičín, </w:t>
          </w:r>
          <w:r w:rsidR="00793722">
            <w:rPr>
              <w:sz w:val="18"/>
              <w:szCs w:val="18"/>
              <w:lang w:val="cs-CZ"/>
            </w:rPr>
            <w:t>východ</w:t>
          </w:r>
          <w:r w:rsidR="004E2683" w:rsidRPr="004E2683">
            <w:rPr>
              <w:sz w:val="18"/>
              <w:szCs w:val="18"/>
              <w:lang w:val="cs-CZ"/>
            </w:rPr>
            <w:t>, sečení břehových porostů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793722">
            <w:rPr>
              <w:sz w:val="18"/>
              <w:szCs w:val="18"/>
              <w:lang w:val="cs-CZ"/>
            </w:rPr>
            <w:t>711260127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793722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  <w:r w:rsidRPr="002F5D41">
            <w:rPr>
              <w:sz w:val="18"/>
              <w:szCs w:val="18"/>
            </w:rPr>
            <w:t xml:space="preserve"> z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793722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10" w:rsidRDefault="005A0310" w:rsidP="007A4B81">
      <w:r>
        <w:separator/>
      </w:r>
    </w:p>
  </w:footnote>
  <w:footnote w:type="continuationSeparator" w:id="0">
    <w:p w:rsidR="005A0310" w:rsidRDefault="005A0310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3146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46DD"/>
    <w:rsid w:val="00135920"/>
    <w:rsid w:val="001401F9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6192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4D0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77182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2683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92C94"/>
    <w:rsid w:val="0059750C"/>
    <w:rsid w:val="00597839"/>
    <w:rsid w:val="005A0310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306B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3722"/>
    <w:rsid w:val="00794278"/>
    <w:rsid w:val="007A2EA0"/>
    <w:rsid w:val="007A36FB"/>
    <w:rsid w:val="007A4B81"/>
    <w:rsid w:val="007A7228"/>
    <w:rsid w:val="007A7937"/>
    <w:rsid w:val="007B0036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63C09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4345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38227433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402D-E121-4F0B-AED5-F860A9DC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4</TotalTime>
  <Pages>6</Pages>
  <Words>2522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Petr Kramář</cp:lastModifiedBy>
  <cp:revision>3</cp:revision>
  <cp:lastPrinted>2022-02-22T10:43:00Z</cp:lastPrinted>
  <dcterms:created xsi:type="dcterms:W3CDTF">2026-01-06T11:37:00Z</dcterms:created>
  <dcterms:modified xsi:type="dcterms:W3CDTF">2026-01-06T12:29:00Z</dcterms:modified>
</cp:coreProperties>
</file>