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6D7A7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A7C">
        <w:rPr>
          <w:rFonts w:ascii="Times New Roman" w:hAnsi="Times New Roman" w:cs="Times New Roman"/>
          <w:b/>
          <w:sz w:val="24"/>
          <w:szCs w:val="24"/>
        </w:rPr>
        <w:t>Pojištění odpovědnosti a dlouhodobého majetku České republiky, s nímž má právo hospodařit Povodí Labe, státní podnik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1D78B4"/>
    <w:rsid w:val="0026115D"/>
    <w:rsid w:val="003417BA"/>
    <w:rsid w:val="004A48E3"/>
    <w:rsid w:val="006D7A7C"/>
    <w:rsid w:val="00766F9F"/>
    <w:rsid w:val="0078522B"/>
    <w:rsid w:val="00792B0D"/>
    <w:rsid w:val="00796DC3"/>
    <w:rsid w:val="008C38A2"/>
    <w:rsid w:val="009C0CAF"/>
    <w:rsid w:val="009F2BE0"/>
    <w:rsid w:val="00BC3EA0"/>
    <w:rsid w:val="00C1542B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13</cp:revision>
  <dcterms:created xsi:type="dcterms:W3CDTF">2022-03-22T08:40:00Z</dcterms:created>
  <dcterms:modified xsi:type="dcterms:W3CDTF">2026-03-16T11:45:00Z</dcterms:modified>
</cp:coreProperties>
</file>